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Contractor Compensation and Guidelines</w:t>
      </w:r>
    </w:p>
    <w:p>
      <w:r>
        <w:t xml:space="preserve">Contractors operate on hourly billing and do not receive corporate benefits or paid time off (PTO).</w:t>
      </w:r>
    </w:p>
    <w:p>
      <w:r>
        <w:t xml:space="preserve">Invoices must be submitted bi-weekly through the contractor billing portal by Friday 5:00 PM EST.</w:t>
      </w:r>
    </w:p>
    <w:p>
      <w:r>
        <w:t xml:space="preserve">Payment terms for verified contractor invoices are Net 15 business days.</w:t>
      </w:r>
    </w:p>
    <w:p>
      <w:pPr>
        <w:pStyle w:val="Heading1"/>
      </w:pPr>
      <w:r>
        <w:t xml:space="preserve">Security and Access Protocol</w:t>
      </w:r>
    </w:p>
    <w:p>
      <w:r>
        <w:t xml:space="preserve">All external contractors must authenticate via corporate VPN and multi-factor authentication.</w:t>
      </w:r>
    </w:p>
    <w:p>
      <w:r>
        <w:t xml:space="preserve">External contractors are prohibited from downloading source code to personal unencrypted laptops.</w:t>
      </w:r>
    </w:p>
    <w:p>
      <w:r>
        <w:t xml:space="preserve">Contractor access credentials expire automatically every 90 days unless renewed by a sponsor.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2026-09-07T07:23:57.766Z</dcterms:created>
  <dcterms:modified xsi:type="dcterms:W3CDTF">2026-09-07T07:23:57.767Z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