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0"/>
        <w:jc w:val="center"/>
      </w:pPr>
      <w:r>
        <w:rPr>
          <w:rFonts w:ascii="Times New Roman" w:hAnsi="Times New Roman"/>
          <w:b/>
          <w:color w:val="4B5563"/>
          <w:sz w:val="24"/>
        </w:rPr>
        <w:t>PROJECT APPLICATION &amp; INCIDENT WALKTHROUGH GUIDE</w:t>
      </w:r>
    </w:p>
    <w:p>
      <w:pPr>
        <w:spacing w:before="0" w:after="900"/>
        <w:jc w:val="center"/>
      </w:pPr>
      <w:r>
        <w:rPr>
          <w:rFonts w:ascii="Times New Roman" w:hAnsi="Times New Roman"/>
          <w:b/>
          <w:color w:val="1F2937"/>
          <w:sz w:val="24"/>
        </w:rPr>
        <w:t>COURSE: ISWE406 AGILE DEVELOPMENT PROCESS AND DEVOPS</w:t>
      </w:r>
    </w:p>
    <w:p>
      <w:pPr>
        <w:spacing w:before="200" w:after="240" w:line="324" w:lineRule="auto"/>
        <w:jc w:val="center"/>
      </w:pPr>
      <w:r>
        <w:rPr>
          <w:rFonts w:ascii="Times New Roman" w:hAnsi="Times New Roman"/>
          <w:b/>
          <w:color w:val="0F172A"/>
          <w:sz w:val="36"/>
        </w:rPr>
        <w:t>FLASHMART QUICK-COMMERCE &amp;</w:t>
        <w:br/>
        <w:t>AUTONOMOUS DEVOPS INCIDENT WATCHDOG:</w:t>
        <w:br/>
        <w:t>APPLICATION FEATURES, RUNTIME INCIDENT LIFECYCLE, AND CLOSED-LOOP SRE REMEDIATION</w:t>
      </w:r>
    </w:p>
    <w:p>
      <w:pPr>
        <w:spacing w:before="200" w:after="2000"/>
        <w:jc w:val="center"/>
      </w:pPr>
      <w:r>
        <w:rPr>
          <w:rFonts w:ascii="Times New Roman" w:hAnsi="Times New Roman"/>
          <w:i/>
          <w:color w:val="64748B"/>
          <w:sz w:val="22"/>
        </w:rPr>
        <w:t>A Formal Technical Guide on Microservice Telemetry, Cloud Forensics, and Zero-Touch Agile Sprint Backlog Automation</w:t>
      </w:r>
    </w:p>
    <w:p>
      <w:pPr>
        <w:spacing w:before="0" w:after="80"/>
        <w:jc w:val="center"/>
      </w:pPr>
      <w:r>
        <w:rPr>
          <w:rFonts w:ascii="Times New Roman" w:hAnsi="Times New Roman"/>
          <w:b/>
          <w:color w:val="4B5563"/>
          <w:sz w:val="22"/>
        </w:rPr>
        <w:t>Submitted by:</w:t>
      </w:r>
    </w:p>
    <w:p>
      <w:pPr>
        <w:spacing w:before="0" w:after="2000"/>
        <w:jc w:val="center"/>
      </w:pPr>
      <w:r>
        <w:rPr>
          <w:rFonts w:ascii="Times New Roman" w:hAnsi="Times New Roman"/>
          <w:b/>
          <w:color w:val="111827"/>
          <w:sz w:val="27"/>
        </w:rPr>
        <w:t>S Hemal (Registration No: 24MIS0050)</w:t>
      </w:r>
    </w:p>
    <w:p>
      <w:pPr>
        <w:spacing w:before="0" w:after="0" w:line="312" w:lineRule="auto"/>
        <w:jc w:val="center"/>
      </w:pPr>
      <w:r>
        <w:rPr>
          <w:rFonts w:ascii="Times New Roman" w:hAnsi="Times New Roman"/>
          <w:color w:val="4B5563"/>
          <w:sz w:val="21"/>
        </w:rPr>
        <w:t>School of Computer Science Engineering and Information Systems (SCOPE)</w:t>
        <w:br/>
        <w:t>Vellore Institute of Technology, Vellore Campus</w:t>
        <w:br/>
        <w:t>Academic Year 2026-2027</w:t>
        <w:br/>
        <w:t>Date of Submission: 26 October 2026</w:t>
      </w:r>
    </w:p>
    <w:p>
      <w:r>
        <w:br w:type="page"/>
      </w:r>
    </w:p>
    <w:p>
      <w:pPr>
        <w:spacing w:before="200" w:after="200"/>
        <w:jc w:val="center"/>
      </w:pPr>
      <w:r>
        <w:rPr>
          <w:rFonts w:ascii="Times New Roman" w:hAnsi="Times New Roman"/>
          <w:b/>
          <w:color w:val="0F172A"/>
          <w:sz w:val="28"/>
        </w:rPr>
        <w:t>EXECUTIVE SUMMARY</w:t>
      </w:r>
    </w:p>
    <w:p>
      <w:pPr>
        <w:spacing w:line="300" w:lineRule="auto" w:after="100" w:before="0"/>
        <w:jc w:val="both"/>
      </w:pPr>
      <w:r>
        <w:rPr>
          <w:rFonts w:ascii="Times New Roman" w:hAnsi="Times New Roman"/>
          <w:i w:val="0"/>
          <w:color w:val="111827"/>
          <w:sz w:val="23"/>
        </w:rPr>
        <w:t>This application and incident walkthrough document details the operational behavior, architectural features, fault reproduction mechanics, and closed-loop Site Reliability Engineering (SRE) remediation capabilities of DevOps Incident Watchdog. The monitored target application, FlashMart Tech, models high-velocity 10-minute quick-commerce delivery, featuring localized dark store fulfillment centered at the VIT Vellore Campus (Men's Hostel Q-Block Dark Store).</w:t>
      </w:r>
    </w:p>
    <w:p>
      <w:pPr>
        <w:spacing w:line="300" w:lineRule="auto" w:after="100" w:before="0"/>
        <w:jc w:val="both"/>
      </w:pPr>
      <w:r>
        <w:rPr>
          <w:rFonts w:ascii="Times New Roman" w:hAnsi="Times New Roman"/>
          <w:i w:val="0"/>
          <w:color w:val="111827"/>
          <w:sz w:val="23"/>
        </w:rPr>
        <w:t>During high-concurrency promotional flash deals, localized warehouse inventory depletes to zero within seconds. When backend routing algorithms calculate discount allocations without boundary validation, an unhandled ZeroDivisionError crashes the microservice worker thread with an HTTP 500 Internal Server Error. This guide demonstrates how the autonomous DevOps Incident Watchdog pipeline detects the failure in Amazon CloudWatch within 4.2 seconds, isolates the customer from white-screen crashes via defensive frontend exception interception, archives immutable forensic dumps in Amazon S3 with 11 9's durability, and mints an actionable Bug User Story on GitHub Issues complete with 6 Definition of Done acceptance criteria.</w:t>
      </w:r>
    </w:p>
    <w:p>
      <w:pPr>
        <w:spacing w:line="300" w:lineRule="auto" w:after="100" w:before="0"/>
        <w:jc w:val="both"/>
      </w:pPr>
      <w:r>
        <w:rPr>
          <w:rFonts w:ascii="Times New Roman" w:hAnsi="Times New Roman"/>
          <w:i w:val="0"/>
          <w:color w:val="111827"/>
          <w:sz w:val="23"/>
        </w:rPr>
        <w:t>Furthermore, this guide details the closed-loop remediation phase: an engineer commits a code fix referencing Smart Commit syntax (Fixes #1), which triggers GitHub Actions continuous integration runners to execute 9 Pytest automated regression suites in 0.53 seconds, redeploy the updated serverless microservice to AWS Lambda, and auto-close GitHub Issue #1 without manual administrative overhead.</w:t>
      </w:r>
    </w:p>
    <w:p>
      <w:pPr>
        <w:spacing w:line="300" w:lineRule="auto" w:after="100" w:before="0"/>
        <w:jc w:val="both"/>
      </w:pPr>
      <w:r>
        <w:rPr>
          <w:rFonts w:ascii="Times New Roman" w:hAnsi="Times New Roman"/>
          <w:b/>
          <w:color w:val="111827"/>
          <w:sz w:val="23"/>
        </w:rPr>
        <w:t xml:space="preserve">Keywords: </w:t>
      </w:r>
      <w:r>
        <w:rPr>
          <w:rFonts w:ascii="Times New Roman" w:hAnsi="Times New Roman"/>
          <w:i/>
          <w:color w:val="111827"/>
          <w:sz w:val="23"/>
        </w:rPr>
        <w:t>Keywords: Agile DevOps, Site Reliability Engineering, Automated Incident Triage, Microservice Telemetry, Amazon CloudWatch, Amazon S3, GitHub Issues, Continuous Integration, Zero-Touch Closure.</w:t>
      </w:r>
    </w:p>
    <w:p>
      <w:r>
        <w:br w:type="page"/>
      </w:r>
    </w:p>
    <w:p>
      <w:pPr>
        <w:spacing w:before="160" w:after="240"/>
        <w:jc w:val="center"/>
      </w:pPr>
      <w:r>
        <w:rPr>
          <w:rFonts w:ascii="Times New Roman" w:hAnsi="Times New Roman"/>
          <w:b/>
          <w:color w:val="0F172A"/>
          <w:sz w:val="28"/>
        </w:rPr>
        <w:t>TABLE OF CONTENTS</w:t>
      </w:r>
    </w:p>
    <w:p>
      <w:pPr>
        <w:spacing w:line="252" w:lineRule="auto" w:after="30" w:before="0"/>
      </w:pPr>
      <w:r>
        <w:rPr>
          <w:rFonts w:ascii="Times New Roman" w:hAnsi="Times New Roman"/>
          <w:b/>
          <w:color w:val="0F172A"/>
          <w:sz w:val="19"/>
        </w:rPr>
        <w:t>Executive Summary</w:t>
      </w:r>
      <w:r>
        <w:rPr>
          <w:rFonts w:ascii="Times New Roman" w:hAnsi="Times New Roman"/>
          <w:color w:val="94A3B8"/>
          <w:sz w:val="17"/>
        </w:rPr>
        <w:t xml:space="preserve"> ............................................................ </w:t>
      </w:r>
      <w:r>
        <w:rPr>
          <w:rFonts w:ascii="Times New Roman" w:hAnsi="Times New Roman"/>
          <w:b/>
          <w:color w:val="0F172A"/>
          <w:sz w:val="19"/>
        </w:rPr>
        <w:t>2</w:t>
      </w:r>
    </w:p>
    <w:p>
      <w:pPr>
        <w:spacing w:line="252" w:lineRule="auto" w:after="30" w:before="0"/>
      </w:pPr>
      <w:r>
        <w:rPr>
          <w:rFonts w:ascii="Times New Roman" w:hAnsi="Times New Roman"/>
          <w:b/>
          <w:color w:val="0F172A"/>
          <w:sz w:val="19"/>
        </w:rPr>
        <w:t>Table of Contents</w:t>
      </w:r>
      <w:r>
        <w:rPr>
          <w:rFonts w:ascii="Times New Roman" w:hAnsi="Times New Roman"/>
          <w:color w:val="94A3B8"/>
          <w:sz w:val="17"/>
        </w:rPr>
        <w:t xml:space="preserve"> ............................................................ </w:t>
      </w:r>
      <w:r>
        <w:rPr>
          <w:rFonts w:ascii="Times New Roman" w:hAnsi="Times New Roman"/>
          <w:b/>
          <w:color w:val="0F172A"/>
          <w:sz w:val="19"/>
        </w:rPr>
        <w:t>3</w:t>
      </w:r>
    </w:p>
    <w:p>
      <w:pPr>
        <w:spacing w:line="252" w:lineRule="auto" w:after="30" w:before="0"/>
      </w:pPr>
      <w:r>
        <w:rPr>
          <w:rFonts w:ascii="Times New Roman" w:hAnsi="Times New Roman"/>
          <w:b/>
          <w:color w:val="0F172A"/>
          <w:sz w:val="19"/>
        </w:rPr>
        <w:t>List of Figures &amp; List of Tables</w:t>
      </w:r>
      <w:r>
        <w:rPr>
          <w:rFonts w:ascii="Times New Roman" w:hAnsi="Times New Roman"/>
          <w:color w:val="94A3B8"/>
          <w:sz w:val="17"/>
        </w:rPr>
        <w:t xml:space="preserve"> .............................. </w:t>
      </w:r>
      <w:r>
        <w:rPr>
          <w:rFonts w:ascii="Times New Roman" w:hAnsi="Times New Roman"/>
          <w:b/>
          <w:color w:val="0F172A"/>
          <w:sz w:val="19"/>
        </w:rPr>
        <w:t>4</w:t>
      </w:r>
    </w:p>
    <w:p>
      <w:pPr>
        <w:spacing w:line="252" w:lineRule="auto" w:after="30" w:before="0"/>
      </w:pPr>
      <w:r>
        <w:rPr>
          <w:rFonts w:ascii="Times New Roman" w:hAnsi="Times New Roman"/>
          <w:b/>
          <w:color w:val="0F172A"/>
          <w:sz w:val="19"/>
        </w:rPr>
        <w:t>1. Application Overview &amp; System Architecture</w:t>
      </w:r>
      <w:r>
        <w:rPr>
          <w:rFonts w:ascii="Times New Roman" w:hAnsi="Times New Roman"/>
          <w:color w:val="94A3B8"/>
          <w:sz w:val="17"/>
        </w:rPr>
        <w:t xml:space="preserve"> .... </w:t>
      </w:r>
      <w:r>
        <w:rPr>
          <w:rFonts w:ascii="Times New Roman" w:hAnsi="Times New Roman"/>
          <w:b/>
          <w:color w:val="0F172A"/>
          <w:sz w:val="19"/>
        </w:rPr>
        <w:t>5</w:t>
      </w:r>
    </w:p>
    <w:p>
      <w:pPr>
        <w:spacing w:line="252" w:lineRule="auto" w:after="30" w:before="0"/>
      </w:pPr>
      <w:r>
        <w:rPr>
          <w:rFonts w:ascii="Times New Roman" w:hAnsi="Times New Roman"/>
          <w:b w:val="0"/>
          <w:color w:val="334155"/>
          <w:sz w:val="18"/>
        </w:rPr>
        <w:t xml:space="preserve">   1.1 Purpose and Industry Motivation</w:t>
      </w:r>
      <w:r>
        <w:rPr>
          <w:rFonts w:ascii="Times New Roman" w:hAnsi="Times New Roman"/>
          <w:color w:val="94A3B8"/>
          <w:sz w:val="17"/>
        </w:rPr>
        <w:t xml:space="preserve"> .................. </w:t>
      </w:r>
      <w:r>
        <w:rPr>
          <w:rFonts w:ascii="Times New Roman" w:hAnsi="Times New Roman"/>
          <w:b w:val="0"/>
          <w:color w:val="334155"/>
          <w:sz w:val="18"/>
        </w:rPr>
        <w:t>5</w:t>
      </w:r>
    </w:p>
    <w:p>
      <w:pPr>
        <w:spacing w:line="252" w:lineRule="auto" w:after="30" w:before="0"/>
      </w:pPr>
      <w:r>
        <w:rPr>
          <w:rFonts w:ascii="Times New Roman" w:hAnsi="Times New Roman"/>
          <w:b w:val="0"/>
          <w:color w:val="334155"/>
          <w:sz w:val="18"/>
        </w:rPr>
        <w:t xml:space="preserve">   1.2 Architectural Decoupling: Three-Tier Model (Figure 1)</w:t>
      </w:r>
      <w:r>
        <w:rPr>
          <w:rFonts w:ascii="Times New Roman" w:hAnsi="Times New Roman"/>
          <w:color w:val="94A3B8"/>
          <w:sz w:val="17"/>
        </w:rPr>
        <w:t xml:space="preserve"> .... </w:t>
      </w:r>
      <w:r>
        <w:rPr>
          <w:rFonts w:ascii="Times New Roman" w:hAnsi="Times New Roman"/>
          <w:b w:val="0"/>
          <w:color w:val="334155"/>
          <w:sz w:val="18"/>
        </w:rPr>
        <w:t>5</w:t>
      </w:r>
    </w:p>
    <w:p>
      <w:pPr>
        <w:spacing w:line="252" w:lineRule="auto" w:after="30" w:before="0"/>
      </w:pPr>
      <w:r>
        <w:rPr>
          <w:rFonts w:ascii="Times New Roman" w:hAnsi="Times New Roman"/>
          <w:b w:val="0"/>
          <w:color w:val="334155"/>
          <w:sz w:val="18"/>
        </w:rPr>
        <w:t xml:space="preserve">   1.3 Component Responsibilities Matrix (Table 1.1)</w:t>
      </w:r>
      <w:r>
        <w:rPr>
          <w:rFonts w:ascii="Times New Roman" w:hAnsi="Times New Roman"/>
          <w:color w:val="94A3B8"/>
          <w:sz w:val="17"/>
        </w:rPr>
        <w:t xml:space="preserve"> .... </w:t>
      </w:r>
      <w:r>
        <w:rPr>
          <w:rFonts w:ascii="Times New Roman" w:hAnsi="Times New Roman"/>
          <w:b w:val="0"/>
          <w:color w:val="334155"/>
          <w:sz w:val="18"/>
        </w:rPr>
        <w:t>6</w:t>
      </w:r>
    </w:p>
    <w:p>
      <w:pPr>
        <w:spacing w:line="252" w:lineRule="auto" w:after="30" w:before="0"/>
      </w:pPr>
      <w:r>
        <w:rPr>
          <w:rFonts w:ascii="Times New Roman" w:hAnsi="Times New Roman"/>
          <w:b/>
          <w:color w:val="0F172A"/>
          <w:sz w:val="19"/>
        </w:rPr>
        <w:t>2. Storefront Presentation &amp; Multi-Hub Logistics</w:t>
      </w:r>
      <w:r>
        <w:rPr>
          <w:rFonts w:ascii="Times New Roman" w:hAnsi="Times New Roman"/>
          <w:color w:val="94A3B8"/>
          <w:sz w:val="17"/>
        </w:rPr>
        <w:t xml:space="preserve"> .... </w:t>
      </w:r>
      <w:r>
        <w:rPr>
          <w:rFonts w:ascii="Times New Roman" w:hAnsi="Times New Roman"/>
          <w:b/>
          <w:color w:val="0F172A"/>
          <w:sz w:val="19"/>
        </w:rPr>
        <w:t>6</w:t>
      </w:r>
    </w:p>
    <w:p>
      <w:pPr>
        <w:spacing w:line="252" w:lineRule="auto" w:after="30" w:before="0"/>
      </w:pPr>
      <w:r>
        <w:rPr>
          <w:rFonts w:ascii="Times New Roman" w:hAnsi="Times New Roman"/>
          <w:b w:val="0"/>
          <w:color w:val="334155"/>
          <w:sz w:val="18"/>
        </w:rPr>
        <w:t xml:space="preserve">   2.1 FlashMart E-Commerce Interface (Figure 2)</w:t>
      </w:r>
      <w:r>
        <w:rPr>
          <w:rFonts w:ascii="Times New Roman" w:hAnsi="Times New Roman"/>
          <w:color w:val="94A3B8"/>
          <w:sz w:val="17"/>
        </w:rPr>
        <w:t xml:space="preserve"> .... </w:t>
      </w:r>
      <w:r>
        <w:rPr>
          <w:rFonts w:ascii="Times New Roman" w:hAnsi="Times New Roman"/>
          <w:b w:val="0"/>
          <w:color w:val="334155"/>
          <w:sz w:val="18"/>
        </w:rPr>
        <w:t>6</w:t>
      </w:r>
    </w:p>
    <w:p>
      <w:pPr>
        <w:spacing w:line="252" w:lineRule="auto" w:after="30" w:before="0"/>
      </w:pPr>
      <w:r>
        <w:rPr>
          <w:rFonts w:ascii="Times New Roman" w:hAnsi="Times New Roman"/>
          <w:b w:val="0"/>
          <w:color w:val="334155"/>
          <w:sz w:val="18"/>
        </w:rPr>
        <w:t xml:space="preserve">   2.2 VIT Vellore Campus Dark Store Routing</w:t>
      </w:r>
      <w:r>
        <w:rPr>
          <w:rFonts w:ascii="Times New Roman" w:hAnsi="Times New Roman"/>
          <w:color w:val="94A3B8"/>
          <w:sz w:val="17"/>
        </w:rPr>
        <w:t xml:space="preserve"> ...... </w:t>
      </w:r>
      <w:r>
        <w:rPr>
          <w:rFonts w:ascii="Times New Roman" w:hAnsi="Times New Roman"/>
          <w:b w:val="0"/>
          <w:color w:val="334155"/>
          <w:sz w:val="18"/>
        </w:rPr>
        <w:t>7</w:t>
      </w:r>
    </w:p>
    <w:p>
      <w:pPr>
        <w:spacing w:line="252" w:lineRule="auto" w:after="30" w:before="0"/>
      </w:pPr>
      <w:r>
        <w:rPr>
          <w:rFonts w:ascii="Times New Roman" w:hAnsi="Times New Roman"/>
          <w:b w:val="0"/>
          <w:color w:val="334155"/>
          <w:sz w:val="18"/>
        </w:rPr>
        <w:t xml:space="preserve">   2.3 Promotional Flash Sale Concurrency Engine</w:t>
      </w:r>
      <w:r>
        <w:rPr>
          <w:rFonts w:ascii="Times New Roman" w:hAnsi="Times New Roman"/>
          <w:color w:val="94A3B8"/>
          <w:sz w:val="17"/>
        </w:rPr>
        <w:t xml:space="preserve"> .... </w:t>
      </w:r>
      <w:r>
        <w:rPr>
          <w:rFonts w:ascii="Times New Roman" w:hAnsi="Times New Roman"/>
          <w:b w:val="0"/>
          <w:color w:val="334155"/>
          <w:sz w:val="18"/>
        </w:rPr>
        <w:t>7</w:t>
      </w:r>
    </w:p>
    <w:p>
      <w:pPr>
        <w:spacing w:line="252" w:lineRule="auto" w:after="30" w:before="0"/>
      </w:pPr>
      <w:r>
        <w:rPr>
          <w:rFonts w:ascii="Times New Roman" w:hAnsi="Times New Roman"/>
          <w:b/>
          <w:color w:val="0F172A"/>
          <w:sz w:val="19"/>
        </w:rPr>
        <w:t>3. The Runtime Incident: Zero-Stock Exhaustion &amp; Crash</w:t>
      </w:r>
      <w:r>
        <w:rPr>
          <w:rFonts w:ascii="Times New Roman" w:hAnsi="Times New Roman"/>
          <w:color w:val="94A3B8"/>
          <w:sz w:val="17"/>
        </w:rPr>
        <w:t xml:space="preserve"> .... </w:t>
      </w:r>
      <w:r>
        <w:rPr>
          <w:rFonts w:ascii="Times New Roman" w:hAnsi="Times New Roman"/>
          <w:b/>
          <w:color w:val="0F172A"/>
          <w:sz w:val="19"/>
        </w:rPr>
        <w:t>7</w:t>
      </w:r>
    </w:p>
    <w:p>
      <w:pPr>
        <w:spacing w:line="252" w:lineRule="auto" w:after="30" w:before="0"/>
      </w:pPr>
      <w:r>
        <w:rPr>
          <w:rFonts w:ascii="Times New Roman" w:hAnsi="Times New Roman"/>
          <w:b w:val="0"/>
          <w:color w:val="334155"/>
          <w:sz w:val="18"/>
        </w:rPr>
        <w:t xml:space="preserve">   3.1 Fault Simulation Mechanics</w:t>
      </w:r>
      <w:r>
        <w:rPr>
          <w:rFonts w:ascii="Times New Roman" w:hAnsi="Times New Roman"/>
          <w:color w:val="94A3B8"/>
          <w:sz w:val="17"/>
        </w:rPr>
        <w:t xml:space="preserve"> ............................ </w:t>
      </w:r>
      <w:r>
        <w:rPr>
          <w:rFonts w:ascii="Times New Roman" w:hAnsi="Times New Roman"/>
          <w:b w:val="0"/>
          <w:color w:val="334155"/>
          <w:sz w:val="18"/>
        </w:rPr>
        <w:t>7</w:t>
      </w:r>
    </w:p>
    <w:p>
      <w:pPr>
        <w:spacing w:line="252" w:lineRule="auto" w:after="30" w:before="0"/>
      </w:pPr>
      <w:r>
        <w:rPr>
          <w:rFonts w:ascii="Times New Roman" w:hAnsi="Times New Roman"/>
          <w:b w:val="0"/>
          <w:color w:val="334155"/>
          <w:sz w:val="18"/>
        </w:rPr>
        <w:t xml:space="preserve">   3.2 Mathematical Division-by-Zero Exception (Figure 3)</w:t>
      </w:r>
      <w:r>
        <w:rPr>
          <w:rFonts w:ascii="Times New Roman" w:hAnsi="Times New Roman"/>
          <w:color w:val="94A3B8"/>
          <w:sz w:val="17"/>
        </w:rPr>
        <w:t xml:space="preserve"> .... </w:t>
      </w:r>
      <w:r>
        <w:rPr>
          <w:rFonts w:ascii="Times New Roman" w:hAnsi="Times New Roman"/>
          <w:b w:val="0"/>
          <w:color w:val="334155"/>
          <w:sz w:val="18"/>
        </w:rPr>
        <w:t>8</w:t>
      </w:r>
    </w:p>
    <w:p>
      <w:pPr>
        <w:spacing w:line="252" w:lineRule="auto" w:after="30" w:before="0"/>
      </w:pPr>
      <w:r>
        <w:rPr>
          <w:rFonts w:ascii="Times New Roman" w:hAnsi="Times New Roman"/>
          <w:b w:val="0"/>
          <w:color w:val="334155"/>
          <w:sz w:val="18"/>
        </w:rPr>
        <w:t xml:space="preserve">   3.3 WSGI Worker Thread Crash &amp; [CRITICAL_ALERT] Logging</w:t>
      </w:r>
      <w:r>
        <w:rPr>
          <w:rFonts w:ascii="Times New Roman" w:hAnsi="Times New Roman"/>
          <w:color w:val="94A3B8"/>
          <w:sz w:val="17"/>
        </w:rPr>
        <w:t xml:space="preserve"> .... </w:t>
      </w:r>
      <w:r>
        <w:rPr>
          <w:rFonts w:ascii="Times New Roman" w:hAnsi="Times New Roman"/>
          <w:b w:val="0"/>
          <w:color w:val="334155"/>
          <w:sz w:val="18"/>
        </w:rPr>
        <w:t>8</w:t>
      </w:r>
    </w:p>
    <w:p>
      <w:pPr>
        <w:spacing w:line="252" w:lineRule="auto" w:after="30" w:before="0"/>
      </w:pPr>
      <w:r>
        <w:rPr>
          <w:rFonts w:ascii="Times New Roman" w:hAnsi="Times New Roman"/>
          <w:b/>
          <w:color w:val="0F172A"/>
          <w:sz w:val="19"/>
        </w:rPr>
        <w:t>4. Defensive Presentation Engineering: Customer Insulation</w:t>
      </w:r>
      <w:r>
        <w:rPr>
          <w:rFonts w:ascii="Times New Roman" w:hAnsi="Times New Roman"/>
          <w:color w:val="94A3B8"/>
          <w:sz w:val="17"/>
        </w:rPr>
        <w:t xml:space="preserve"> .... </w:t>
      </w:r>
      <w:r>
        <w:rPr>
          <w:rFonts w:ascii="Times New Roman" w:hAnsi="Times New Roman"/>
          <w:b/>
          <w:color w:val="0F172A"/>
          <w:sz w:val="19"/>
        </w:rPr>
        <w:t>9</w:t>
      </w:r>
    </w:p>
    <w:p>
      <w:pPr>
        <w:spacing w:line="252" w:lineRule="auto" w:after="30" w:before="0"/>
      </w:pPr>
      <w:r>
        <w:rPr>
          <w:rFonts w:ascii="Times New Roman" w:hAnsi="Times New Roman"/>
          <w:b w:val="0"/>
          <w:color w:val="334155"/>
          <w:sz w:val="18"/>
        </w:rPr>
        <w:t xml:space="preserve">   4.1 Client-Side HTTP 500 Interception (Figure 4)</w:t>
      </w:r>
      <w:r>
        <w:rPr>
          <w:rFonts w:ascii="Times New Roman" w:hAnsi="Times New Roman"/>
          <w:color w:val="94A3B8"/>
          <w:sz w:val="17"/>
        </w:rPr>
        <w:t xml:space="preserve"> .... </w:t>
      </w:r>
      <w:r>
        <w:rPr>
          <w:rFonts w:ascii="Times New Roman" w:hAnsi="Times New Roman"/>
          <w:b w:val="0"/>
          <w:color w:val="334155"/>
          <w:sz w:val="18"/>
        </w:rPr>
        <w:t>9</w:t>
      </w:r>
    </w:p>
    <w:p>
      <w:pPr>
        <w:spacing w:line="252" w:lineRule="auto" w:after="30" w:before="0"/>
      </w:pPr>
      <w:r>
        <w:rPr>
          <w:rFonts w:ascii="Times New Roman" w:hAnsi="Times New Roman"/>
          <w:b w:val="0"/>
          <w:color w:val="334155"/>
          <w:sz w:val="18"/>
        </w:rPr>
        <w:t xml:space="preserve">   4.2 Informative Stockout Waitlist Modal</w:t>
      </w:r>
      <w:r>
        <w:rPr>
          <w:rFonts w:ascii="Times New Roman" w:hAnsi="Times New Roman"/>
          <w:color w:val="94A3B8"/>
          <w:sz w:val="17"/>
        </w:rPr>
        <w:t xml:space="preserve"> .......... </w:t>
      </w:r>
      <w:r>
        <w:rPr>
          <w:rFonts w:ascii="Times New Roman" w:hAnsi="Times New Roman"/>
          <w:b w:val="0"/>
          <w:color w:val="334155"/>
          <w:sz w:val="18"/>
        </w:rPr>
        <w:t>9</w:t>
      </w:r>
    </w:p>
    <w:p>
      <w:pPr>
        <w:spacing w:line="252" w:lineRule="auto" w:after="30" w:before="0"/>
      </w:pPr>
      <w:r>
        <w:rPr>
          <w:rFonts w:ascii="Times New Roman" w:hAnsi="Times New Roman"/>
          <w:b w:val="0"/>
          <w:color w:val="334155"/>
          <w:sz w:val="18"/>
        </w:rPr>
        <w:t xml:space="preserve">   4.3 Customer Trust and Brand Equity Protection</w:t>
      </w:r>
      <w:r>
        <w:rPr>
          <w:rFonts w:ascii="Times New Roman" w:hAnsi="Times New Roman"/>
          <w:color w:val="94A3B8"/>
          <w:sz w:val="17"/>
        </w:rPr>
        <w:t xml:space="preserve"> .... </w:t>
      </w:r>
      <w:r>
        <w:rPr>
          <w:rFonts w:ascii="Times New Roman" w:hAnsi="Times New Roman"/>
          <w:b w:val="0"/>
          <w:color w:val="334155"/>
          <w:sz w:val="18"/>
        </w:rPr>
        <w:t>9</w:t>
      </w:r>
    </w:p>
    <w:p>
      <w:pPr>
        <w:spacing w:line="252" w:lineRule="auto" w:after="30" w:before="0"/>
      </w:pPr>
      <w:r>
        <w:rPr>
          <w:rFonts w:ascii="Times New Roman" w:hAnsi="Times New Roman"/>
          <w:b/>
          <w:color w:val="0F172A"/>
          <w:sz w:val="19"/>
        </w:rPr>
        <w:t>5. SRE Observability: Sub-5-Second Metric Ingestion</w:t>
      </w:r>
      <w:r>
        <w:rPr>
          <w:rFonts w:ascii="Times New Roman" w:hAnsi="Times New Roman"/>
          <w:color w:val="94A3B8"/>
          <w:sz w:val="17"/>
        </w:rPr>
        <w:t xml:space="preserve"> .... </w:t>
      </w:r>
      <w:r>
        <w:rPr>
          <w:rFonts w:ascii="Times New Roman" w:hAnsi="Times New Roman"/>
          <w:b/>
          <w:color w:val="0F172A"/>
          <w:sz w:val="19"/>
        </w:rPr>
        <w:t>10</w:t>
      </w:r>
    </w:p>
    <w:p>
      <w:pPr>
        <w:spacing w:line="252" w:lineRule="auto" w:after="30" w:before="0"/>
      </w:pPr>
      <w:r>
        <w:rPr>
          <w:rFonts w:ascii="Times New Roman" w:hAnsi="Times New Roman"/>
          <w:b w:val="0"/>
          <w:color w:val="334155"/>
          <w:sz w:val="18"/>
        </w:rPr>
        <w:t xml:space="preserve">   5.1 Event-Driven CloudWatch Log Filtering</w:t>
      </w:r>
      <w:r>
        <w:rPr>
          <w:rFonts w:ascii="Times New Roman" w:hAnsi="Times New Roman"/>
          <w:color w:val="94A3B8"/>
          <w:sz w:val="17"/>
        </w:rPr>
        <w:t xml:space="preserve"> ...... </w:t>
      </w:r>
      <w:r>
        <w:rPr>
          <w:rFonts w:ascii="Times New Roman" w:hAnsi="Times New Roman"/>
          <w:b w:val="0"/>
          <w:color w:val="334155"/>
          <w:sz w:val="18"/>
        </w:rPr>
        <w:t>10</w:t>
      </w:r>
    </w:p>
    <w:p>
      <w:pPr>
        <w:spacing w:line="252" w:lineRule="auto" w:after="30" w:before="0"/>
      </w:pPr>
      <w:r>
        <w:rPr>
          <w:rFonts w:ascii="Times New Roman" w:hAnsi="Times New Roman"/>
          <w:b w:val="0"/>
          <w:color w:val="334155"/>
          <w:sz w:val="18"/>
        </w:rPr>
        <w:t xml:space="preserve">   5.2 Operator SRE Backstage Dashboard (Figure 5)</w:t>
      </w:r>
      <w:r>
        <w:rPr>
          <w:rFonts w:ascii="Times New Roman" w:hAnsi="Times New Roman"/>
          <w:color w:val="94A3B8"/>
          <w:sz w:val="17"/>
        </w:rPr>
        <w:t xml:space="preserve"> .... </w:t>
      </w:r>
      <w:r>
        <w:rPr>
          <w:rFonts w:ascii="Times New Roman" w:hAnsi="Times New Roman"/>
          <w:b w:val="0"/>
          <w:color w:val="334155"/>
          <w:sz w:val="18"/>
        </w:rPr>
        <w:t>10</w:t>
      </w:r>
    </w:p>
    <w:p>
      <w:pPr>
        <w:spacing w:line="252" w:lineRule="auto" w:after="30" w:before="0"/>
      </w:pPr>
      <w:r>
        <w:rPr>
          <w:rFonts w:ascii="Times New Roman" w:hAnsi="Times New Roman"/>
          <w:b w:val="0"/>
          <w:color w:val="334155"/>
          <w:sz w:val="18"/>
        </w:rPr>
        <w:t xml:space="preserve">   5.3 Zero-Polling Telemetry Architecture</w:t>
      </w:r>
      <w:r>
        <w:rPr>
          <w:rFonts w:ascii="Times New Roman" w:hAnsi="Times New Roman"/>
          <w:color w:val="94A3B8"/>
          <w:sz w:val="17"/>
        </w:rPr>
        <w:t xml:space="preserve"> .......... </w:t>
      </w:r>
      <w:r>
        <w:rPr>
          <w:rFonts w:ascii="Times New Roman" w:hAnsi="Times New Roman"/>
          <w:b w:val="0"/>
          <w:color w:val="334155"/>
          <w:sz w:val="18"/>
        </w:rPr>
        <w:t>10</w:t>
      </w:r>
    </w:p>
    <w:p>
      <w:pPr>
        <w:spacing w:line="252" w:lineRule="auto" w:after="30" w:before="0"/>
      </w:pPr>
      <w:r>
        <w:rPr>
          <w:rFonts w:ascii="Times New Roman" w:hAnsi="Times New Roman"/>
          <w:b/>
          <w:color w:val="0F172A"/>
          <w:sz w:val="19"/>
        </w:rPr>
        <w:t>6. Cloud Forensics: Immutable S3 Vault Archival</w:t>
      </w:r>
      <w:r>
        <w:rPr>
          <w:rFonts w:ascii="Times New Roman" w:hAnsi="Times New Roman"/>
          <w:color w:val="94A3B8"/>
          <w:sz w:val="17"/>
        </w:rPr>
        <w:t xml:space="preserve"> .... </w:t>
      </w:r>
      <w:r>
        <w:rPr>
          <w:rFonts w:ascii="Times New Roman" w:hAnsi="Times New Roman"/>
          <w:b/>
          <w:color w:val="0F172A"/>
          <w:sz w:val="19"/>
        </w:rPr>
        <w:t>11</w:t>
      </w:r>
    </w:p>
    <w:p>
      <w:pPr>
        <w:spacing w:line="252" w:lineRule="auto" w:after="30" w:before="0"/>
      </w:pPr>
      <w:r>
        <w:rPr>
          <w:rFonts w:ascii="Times New Roman" w:hAnsi="Times New Roman"/>
          <w:b w:val="0"/>
          <w:color w:val="334155"/>
          <w:sz w:val="18"/>
        </w:rPr>
        <w:t xml:space="preserve">   6.1 Cryptographic Incident ID Minting</w:t>
      </w:r>
      <w:r>
        <w:rPr>
          <w:rFonts w:ascii="Times New Roman" w:hAnsi="Times New Roman"/>
          <w:color w:val="94A3B8"/>
          <w:sz w:val="17"/>
        </w:rPr>
        <w:t xml:space="preserve"> .............. </w:t>
      </w:r>
      <w:r>
        <w:rPr>
          <w:rFonts w:ascii="Times New Roman" w:hAnsi="Times New Roman"/>
          <w:b w:val="0"/>
          <w:color w:val="334155"/>
          <w:sz w:val="18"/>
        </w:rPr>
        <w:t>11</w:t>
      </w:r>
    </w:p>
    <w:p>
      <w:pPr>
        <w:spacing w:line="252" w:lineRule="auto" w:after="30" w:before="0"/>
      </w:pPr>
      <w:r>
        <w:rPr>
          <w:rFonts w:ascii="Times New Roman" w:hAnsi="Times New Roman"/>
          <w:b w:val="0"/>
          <w:color w:val="334155"/>
          <w:sz w:val="18"/>
        </w:rPr>
        <w:t xml:space="preserve">   6.2 Private Amazon S3 Storage &amp; 11 9's Durability (Figure 6)</w:t>
      </w:r>
      <w:r>
        <w:rPr>
          <w:rFonts w:ascii="Times New Roman" w:hAnsi="Times New Roman"/>
          <w:color w:val="94A3B8"/>
          <w:sz w:val="17"/>
        </w:rPr>
        <w:t xml:space="preserve"> .... </w:t>
      </w:r>
      <w:r>
        <w:rPr>
          <w:rFonts w:ascii="Times New Roman" w:hAnsi="Times New Roman"/>
          <w:b w:val="0"/>
          <w:color w:val="334155"/>
          <w:sz w:val="18"/>
        </w:rPr>
        <w:t>11</w:t>
      </w:r>
    </w:p>
    <w:p>
      <w:pPr>
        <w:spacing w:line="252" w:lineRule="auto" w:after="30" w:before="0"/>
      </w:pPr>
      <w:r>
        <w:rPr>
          <w:rFonts w:ascii="Times New Roman" w:hAnsi="Times New Roman"/>
          <w:b w:val="0"/>
          <w:color w:val="334155"/>
          <w:sz w:val="18"/>
        </w:rPr>
        <w:t xml:space="preserve">   6.3 Structured Forensic JSON Payload Specification</w:t>
      </w:r>
      <w:r>
        <w:rPr>
          <w:rFonts w:ascii="Times New Roman" w:hAnsi="Times New Roman"/>
          <w:color w:val="94A3B8"/>
          <w:sz w:val="17"/>
        </w:rPr>
        <w:t xml:space="preserve"> .... </w:t>
      </w:r>
      <w:r>
        <w:rPr>
          <w:rFonts w:ascii="Times New Roman" w:hAnsi="Times New Roman"/>
          <w:b w:val="0"/>
          <w:color w:val="334155"/>
          <w:sz w:val="18"/>
        </w:rPr>
        <w:t>11</w:t>
      </w:r>
    </w:p>
    <w:p>
      <w:pPr>
        <w:spacing w:line="252" w:lineRule="auto" w:after="30" w:before="0"/>
      </w:pPr>
      <w:r>
        <w:rPr>
          <w:rFonts w:ascii="Times New Roman" w:hAnsi="Times New Roman"/>
          <w:b/>
          <w:color w:val="0F172A"/>
          <w:sz w:val="19"/>
        </w:rPr>
        <w:t>7. Agile Backlog Automation: GitHub Issue Minting</w:t>
      </w:r>
      <w:r>
        <w:rPr>
          <w:rFonts w:ascii="Times New Roman" w:hAnsi="Times New Roman"/>
          <w:color w:val="94A3B8"/>
          <w:sz w:val="17"/>
        </w:rPr>
        <w:t xml:space="preserve"> .... </w:t>
      </w:r>
      <w:r>
        <w:rPr>
          <w:rFonts w:ascii="Times New Roman" w:hAnsi="Times New Roman"/>
          <w:b/>
          <w:color w:val="0F172A"/>
          <w:sz w:val="19"/>
        </w:rPr>
        <w:t>12</w:t>
      </w:r>
    </w:p>
    <w:p>
      <w:pPr>
        <w:spacing w:line="252" w:lineRule="auto" w:after="30" w:before="0"/>
      </w:pPr>
      <w:r>
        <w:rPr>
          <w:rFonts w:ascii="Times New Roman" w:hAnsi="Times New Roman"/>
          <w:b w:val="0"/>
          <w:color w:val="334155"/>
          <w:sz w:val="18"/>
        </w:rPr>
        <w:t xml:space="preserve">   7.1 REST API v3 Automated Ticket Creation (Figure 7)</w:t>
      </w:r>
      <w:r>
        <w:rPr>
          <w:rFonts w:ascii="Times New Roman" w:hAnsi="Times New Roman"/>
          <w:color w:val="94A3B8"/>
          <w:sz w:val="17"/>
        </w:rPr>
        <w:t xml:space="preserve"> .... </w:t>
      </w:r>
      <w:r>
        <w:rPr>
          <w:rFonts w:ascii="Times New Roman" w:hAnsi="Times New Roman"/>
          <w:b w:val="0"/>
          <w:color w:val="334155"/>
          <w:sz w:val="18"/>
        </w:rPr>
        <w:t>12</w:t>
      </w:r>
    </w:p>
    <w:p>
      <w:pPr>
        <w:spacing w:line="252" w:lineRule="auto" w:after="30" w:before="0"/>
      </w:pPr>
      <w:r>
        <w:rPr>
          <w:rFonts w:ascii="Times New Roman" w:hAnsi="Times New Roman"/>
          <w:b w:val="0"/>
          <w:color w:val="334155"/>
          <w:sz w:val="18"/>
        </w:rPr>
        <w:t xml:space="preserve">   7.2 Standardized Diagnostics Table &amp; Priority Labels</w:t>
      </w:r>
      <w:r>
        <w:rPr>
          <w:rFonts w:ascii="Times New Roman" w:hAnsi="Times New Roman"/>
          <w:color w:val="94A3B8"/>
          <w:sz w:val="17"/>
        </w:rPr>
        <w:t xml:space="preserve"> .... </w:t>
      </w:r>
      <w:r>
        <w:rPr>
          <w:rFonts w:ascii="Times New Roman" w:hAnsi="Times New Roman"/>
          <w:b w:val="0"/>
          <w:color w:val="334155"/>
          <w:sz w:val="18"/>
        </w:rPr>
        <w:t>12</w:t>
      </w:r>
    </w:p>
    <w:p>
      <w:pPr>
        <w:spacing w:line="252" w:lineRule="auto" w:after="30" w:before="0"/>
      </w:pPr>
      <w:r>
        <w:rPr>
          <w:rFonts w:ascii="Times New Roman" w:hAnsi="Times New Roman"/>
          <w:b w:val="0"/>
          <w:color w:val="334155"/>
          <w:sz w:val="18"/>
        </w:rPr>
        <w:t xml:space="preserve">   7.3 Enforcing 6 Definition of Done (DoD) Criteria</w:t>
      </w:r>
      <w:r>
        <w:rPr>
          <w:rFonts w:ascii="Times New Roman" w:hAnsi="Times New Roman"/>
          <w:color w:val="94A3B8"/>
          <w:sz w:val="17"/>
        </w:rPr>
        <w:t xml:space="preserve"> .... </w:t>
      </w:r>
      <w:r>
        <w:rPr>
          <w:rFonts w:ascii="Times New Roman" w:hAnsi="Times New Roman"/>
          <w:b w:val="0"/>
          <w:color w:val="334155"/>
          <w:sz w:val="18"/>
        </w:rPr>
        <w:t>13</w:t>
      </w:r>
    </w:p>
    <w:p>
      <w:pPr>
        <w:spacing w:line="252" w:lineRule="auto" w:after="30" w:before="0"/>
      </w:pPr>
      <w:r>
        <w:rPr>
          <w:rFonts w:ascii="Times New Roman" w:hAnsi="Times New Roman"/>
          <w:b/>
          <w:color w:val="0F172A"/>
          <w:sz w:val="19"/>
        </w:rPr>
        <w:t>8. Continuous Remediation: GitOps Smart Commit &amp; CI/CD</w:t>
      </w:r>
      <w:r>
        <w:rPr>
          <w:rFonts w:ascii="Times New Roman" w:hAnsi="Times New Roman"/>
          <w:color w:val="94A3B8"/>
          <w:sz w:val="17"/>
        </w:rPr>
        <w:t xml:space="preserve"> .... </w:t>
      </w:r>
      <w:r>
        <w:rPr>
          <w:rFonts w:ascii="Times New Roman" w:hAnsi="Times New Roman"/>
          <w:b/>
          <w:color w:val="0F172A"/>
          <w:sz w:val="19"/>
        </w:rPr>
        <w:t>13</w:t>
      </w:r>
    </w:p>
    <w:p>
      <w:pPr>
        <w:spacing w:line="252" w:lineRule="auto" w:after="30" w:before="0"/>
      </w:pPr>
      <w:r>
        <w:rPr>
          <w:rFonts w:ascii="Times New Roman" w:hAnsi="Times New Roman"/>
          <w:b w:val="0"/>
          <w:color w:val="334155"/>
          <w:sz w:val="18"/>
        </w:rPr>
        <w:t xml:space="preserve">   8.1 Developer Defensive Code Fix Implementation</w:t>
      </w:r>
      <w:r>
        <w:rPr>
          <w:rFonts w:ascii="Times New Roman" w:hAnsi="Times New Roman"/>
          <w:color w:val="94A3B8"/>
          <w:sz w:val="17"/>
        </w:rPr>
        <w:t xml:space="preserve"> .... </w:t>
      </w:r>
      <w:r>
        <w:rPr>
          <w:rFonts w:ascii="Times New Roman" w:hAnsi="Times New Roman"/>
          <w:b w:val="0"/>
          <w:color w:val="334155"/>
          <w:sz w:val="18"/>
        </w:rPr>
        <w:t>13</w:t>
      </w:r>
    </w:p>
    <w:p>
      <w:pPr>
        <w:spacing w:line="252" w:lineRule="auto" w:after="30" w:before="0"/>
      </w:pPr>
      <w:r>
        <w:rPr>
          <w:rFonts w:ascii="Times New Roman" w:hAnsi="Times New Roman"/>
          <w:b w:val="0"/>
          <w:color w:val="334155"/>
          <w:sz w:val="18"/>
        </w:rPr>
        <w:t xml:space="preserve">   8.2 GitHub Actions Automated Pytest Regression Runner (Figure 8)</w:t>
      </w:r>
      <w:r>
        <w:rPr>
          <w:rFonts w:ascii="Times New Roman" w:hAnsi="Times New Roman"/>
          <w:color w:val="94A3B8"/>
          <w:sz w:val="17"/>
        </w:rPr>
        <w:t xml:space="preserve"> .... </w:t>
      </w:r>
      <w:r>
        <w:rPr>
          <w:rFonts w:ascii="Times New Roman" w:hAnsi="Times New Roman"/>
          <w:b w:val="0"/>
          <w:color w:val="334155"/>
          <w:sz w:val="18"/>
        </w:rPr>
        <w:t>13</w:t>
      </w:r>
    </w:p>
    <w:p>
      <w:pPr>
        <w:spacing w:line="252" w:lineRule="auto" w:after="30" w:before="0"/>
      </w:pPr>
      <w:r>
        <w:rPr>
          <w:rFonts w:ascii="Times New Roman" w:hAnsi="Times New Roman"/>
          <w:b w:val="0"/>
          <w:color w:val="334155"/>
          <w:sz w:val="18"/>
        </w:rPr>
        <w:t xml:space="preserve">   8.3 Zero-Touch Sprint Backlog Closure via Smart Commits</w:t>
      </w:r>
      <w:r>
        <w:rPr>
          <w:rFonts w:ascii="Times New Roman" w:hAnsi="Times New Roman"/>
          <w:color w:val="94A3B8"/>
          <w:sz w:val="17"/>
        </w:rPr>
        <w:t xml:space="preserve"> .... </w:t>
      </w:r>
      <w:r>
        <w:rPr>
          <w:rFonts w:ascii="Times New Roman" w:hAnsi="Times New Roman"/>
          <w:b w:val="0"/>
          <w:color w:val="334155"/>
          <w:sz w:val="18"/>
        </w:rPr>
        <w:t>14</w:t>
      </w:r>
    </w:p>
    <w:p>
      <w:pPr>
        <w:spacing w:line="252" w:lineRule="auto" w:after="30" w:before="0"/>
      </w:pPr>
      <w:r>
        <w:rPr>
          <w:rFonts w:ascii="Times New Roman" w:hAnsi="Times New Roman"/>
          <w:b/>
          <w:color w:val="0F172A"/>
          <w:sz w:val="19"/>
        </w:rPr>
        <w:t>9. Security Architecture &amp; Serverless Cloud Topology</w:t>
      </w:r>
      <w:r>
        <w:rPr>
          <w:rFonts w:ascii="Times New Roman" w:hAnsi="Times New Roman"/>
          <w:color w:val="94A3B8"/>
          <w:sz w:val="17"/>
        </w:rPr>
        <w:t xml:space="preserve"> .... </w:t>
      </w:r>
      <w:r>
        <w:rPr>
          <w:rFonts w:ascii="Times New Roman" w:hAnsi="Times New Roman"/>
          <w:b/>
          <w:color w:val="0F172A"/>
          <w:sz w:val="19"/>
        </w:rPr>
        <w:t>14</w:t>
      </w:r>
    </w:p>
    <w:p>
      <w:pPr>
        <w:spacing w:line="252" w:lineRule="auto" w:after="30" w:before="0"/>
      </w:pPr>
      <w:r>
        <w:rPr>
          <w:rFonts w:ascii="Times New Roman" w:hAnsi="Times New Roman"/>
          <w:b w:val="0"/>
          <w:color w:val="334155"/>
          <w:sz w:val="18"/>
        </w:rPr>
        <w:t xml:space="preserve">   9.1 Seven Closed-Loop Security Safety Gates (Figure 9)</w:t>
      </w:r>
      <w:r>
        <w:rPr>
          <w:rFonts w:ascii="Times New Roman" w:hAnsi="Times New Roman"/>
          <w:color w:val="94A3B8"/>
          <w:sz w:val="17"/>
        </w:rPr>
        <w:t xml:space="preserve"> .... </w:t>
      </w:r>
      <w:r>
        <w:rPr>
          <w:rFonts w:ascii="Times New Roman" w:hAnsi="Times New Roman"/>
          <w:b w:val="0"/>
          <w:color w:val="334155"/>
          <w:sz w:val="18"/>
        </w:rPr>
        <w:t>14</w:t>
      </w:r>
    </w:p>
    <w:p>
      <w:pPr>
        <w:spacing w:line="252" w:lineRule="auto" w:after="30" w:before="0"/>
      </w:pPr>
      <w:r>
        <w:rPr>
          <w:rFonts w:ascii="Times New Roman" w:hAnsi="Times New Roman"/>
          <w:b w:val="0"/>
          <w:color w:val="334155"/>
          <w:sz w:val="18"/>
        </w:rPr>
        <w:t xml:space="preserve">   9.2 AWS Serverless Live Deployment Topology (Figure 10)</w:t>
      </w:r>
      <w:r>
        <w:rPr>
          <w:rFonts w:ascii="Times New Roman" w:hAnsi="Times New Roman"/>
          <w:color w:val="94A3B8"/>
          <w:sz w:val="17"/>
        </w:rPr>
        <w:t xml:space="preserve"> .... </w:t>
      </w:r>
      <w:r>
        <w:rPr>
          <w:rFonts w:ascii="Times New Roman" w:hAnsi="Times New Roman"/>
          <w:b w:val="0"/>
          <w:color w:val="334155"/>
          <w:sz w:val="18"/>
        </w:rPr>
        <w:t>15</w:t>
      </w:r>
    </w:p>
    <w:p>
      <w:pPr>
        <w:spacing w:line="252" w:lineRule="auto" w:after="30" w:before="0"/>
      </w:pPr>
      <w:r>
        <w:rPr>
          <w:rFonts w:ascii="Times New Roman" w:hAnsi="Times New Roman"/>
          <w:b w:val="0"/>
          <w:color w:val="334155"/>
          <w:sz w:val="18"/>
        </w:rPr>
        <w:t xml:space="preserve">   9.3 Monthly Free Tier Cost Breakdown (Table 9.1)</w:t>
      </w:r>
      <w:r>
        <w:rPr>
          <w:rFonts w:ascii="Times New Roman" w:hAnsi="Times New Roman"/>
          <w:color w:val="94A3B8"/>
          <w:sz w:val="17"/>
        </w:rPr>
        <w:t xml:space="preserve"> .... </w:t>
      </w:r>
      <w:r>
        <w:rPr>
          <w:rFonts w:ascii="Times New Roman" w:hAnsi="Times New Roman"/>
          <w:b w:val="0"/>
          <w:color w:val="334155"/>
          <w:sz w:val="18"/>
        </w:rPr>
        <w:t>15</w:t>
      </w:r>
    </w:p>
    <w:p>
      <w:pPr>
        <w:spacing w:line="252" w:lineRule="auto" w:after="30" w:before="0"/>
      </w:pPr>
      <w:r>
        <w:rPr>
          <w:rFonts w:ascii="Times New Roman" w:hAnsi="Times New Roman"/>
          <w:b/>
          <w:color w:val="0F172A"/>
          <w:sz w:val="19"/>
        </w:rPr>
        <w:t>10. End-to-End Workflow Synthesis &amp; Conclusion</w:t>
      </w:r>
      <w:r>
        <w:rPr>
          <w:rFonts w:ascii="Times New Roman" w:hAnsi="Times New Roman"/>
          <w:color w:val="94A3B8"/>
          <w:sz w:val="17"/>
        </w:rPr>
        <w:t xml:space="preserve"> .... </w:t>
      </w:r>
      <w:r>
        <w:rPr>
          <w:rFonts w:ascii="Times New Roman" w:hAnsi="Times New Roman"/>
          <w:b/>
          <w:color w:val="0F172A"/>
          <w:sz w:val="19"/>
        </w:rPr>
        <w:t>16</w:t>
      </w:r>
    </w:p>
    <w:p>
      <w:pPr>
        <w:spacing w:line="252" w:lineRule="auto" w:after="30" w:before="0"/>
      </w:pPr>
      <w:r>
        <w:rPr>
          <w:rFonts w:ascii="Times New Roman" w:hAnsi="Times New Roman"/>
          <w:b w:val="0"/>
          <w:color w:val="334155"/>
          <w:sz w:val="18"/>
        </w:rPr>
        <w:t xml:space="preserve">   10.1 Complete 7-Stage Remediation Lifecycle (Figure 11)</w:t>
      </w:r>
      <w:r>
        <w:rPr>
          <w:rFonts w:ascii="Times New Roman" w:hAnsi="Times New Roman"/>
          <w:color w:val="94A3B8"/>
          <w:sz w:val="17"/>
        </w:rPr>
        <w:t xml:space="preserve"> .... </w:t>
      </w:r>
      <w:r>
        <w:rPr>
          <w:rFonts w:ascii="Times New Roman" w:hAnsi="Times New Roman"/>
          <w:b w:val="0"/>
          <w:color w:val="334155"/>
          <w:sz w:val="18"/>
        </w:rPr>
        <w:t>16</w:t>
      </w:r>
    </w:p>
    <w:p>
      <w:pPr>
        <w:spacing w:line="252" w:lineRule="auto" w:after="30" w:before="0"/>
      </w:pPr>
      <w:r>
        <w:rPr>
          <w:rFonts w:ascii="Times New Roman" w:hAnsi="Times New Roman"/>
          <w:b w:val="0"/>
          <w:color w:val="334155"/>
          <w:sz w:val="18"/>
        </w:rPr>
        <w:t xml:space="preserve">   10.2 Verified Performance Metrics &amp; Engineering Achievements</w:t>
      </w:r>
      <w:r>
        <w:rPr>
          <w:rFonts w:ascii="Times New Roman" w:hAnsi="Times New Roman"/>
          <w:color w:val="94A3B8"/>
          <w:sz w:val="17"/>
        </w:rPr>
        <w:t xml:space="preserve"> .... </w:t>
      </w:r>
      <w:r>
        <w:rPr>
          <w:rFonts w:ascii="Times New Roman" w:hAnsi="Times New Roman"/>
          <w:b w:val="0"/>
          <w:color w:val="334155"/>
          <w:sz w:val="18"/>
        </w:rPr>
        <w:t>16</w:t>
      </w:r>
    </w:p>
    <w:p>
      <w:pPr>
        <w:spacing w:line="252" w:lineRule="auto" w:after="30" w:before="0"/>
      </w:pPr>
      <w:r>
        <w:rPr>
          <w:rFonts w:ascii="Times New Roman" w:hAnsi="Times New Roman"/>
          <w:b w:val="0"/>
          <w:color w:val="334155"/>
          <w:sz w:val="18"/>
        </w:rPr>
        <w:t xml:space="preserve">   10.3 Final Assessment for Faculty Evaluation</w:t>
      </w:r>
      <w:r>
        <w:rPr>
          <w:rFonts w:ascii="Times New Roman" w:hAnsi="Times New Roman"/>
          <w:color w:val="94A3B8"/>
          <w:sz w:val="17"/>
        </w:rPr>
        <w:t xml:space="preserve"> .... </w:t>
      </w:r>
      <w:r>
        <w:rPr>
          <w:rFonts w:ascii="Times New Roman" w:hAnsi="Times New Roman"/>
          <w:b w:val="0"/>
          <w:color w:val="334155"/>
          <w:sz w:val="18"/>
        </w:rPr>
        <w:t>16</w:t>
      </w:r>
    </w:p>
    <w:p>
      <w:r>
        <w:br w:type="page"/>
      </w:r>
    </w:p>
    <w:p>
      <w:pPr>
        <w:spacing w:before="160" w:after="200"/>
        <w:jc w:val="center"/>
      </w:pPr>
      <w:r>
        <w:rPr>
          <w:rFonts w:ascii="Times New Roman" w:hAnsi="Times New Roman"/>
          <w:b/>
          <w:color w:val="0F172A"/>
          <w:sz w:val="27"/>
        </w:rPr>
        <w:t>LIST OF FIGURES</w:t>
      </w:r>
    </w:p>
    <w:p>
      <w:pPr>
        <w:spacing w:line="252" w:lineRule="auto" w:after="40"/>
      </w:pPr>
      <w:r>
        <w:rPr>
          <w:rFonts w:ascii="Times New Roman" w:hAnsi="Times New Roman"/>
          <w:sz w:val="18"/>
        </w:rPr>
        <w:t>Figure 1: High-Level Minimal Architecture Diagram of DevOps Incident Watchdog</w:t>
      </w:r>
      <w:r>
        <w:rPr>
          <w:color w:val="94A3B8"/>
        </w:rPr>
        <w:t xml:space="preserve"> .... </w:t>
      </w:r>
      <w:r>
        <w:rPr>
          <w:rFonts w:ascii="Times New Roman" w:hAnsi="Times New Roman"/>
          <w:b/>
          <w:sz w:val="18"/>
        </w:rPr>
        <w:t>5</w:t>
      </w:r>
    </w:p>
    <w:p>
      <w:pPr>
        <w:spacing w:line="252" w:lineRule="auto" w:after="40"/>
      </w:pPr>
      <w:r>
        <w:rPr>
          <w:rFonts w:ascii="Times New Roman" w:hAnsi="Times New Roman"/>
          <w:sz w:val="18"/>
        </w:rPr>
        <w:t>Figure 2: FlashMart Customer Storefront &amp; VIT Vellore Delivery Hub Selection Interface</w:t>
      </w:r>
      <w:r>
        <w:rPr>
          <w:color w:val="94A3B8"/>
        </w:rPr>
        <w:t xml:space="preserve"> .... </w:t>
      </w:r>
      <w:r>
        <w:rPr>
          <w:rFonts w:ascii="Times New Roman" w:hAnsi="Times New Roman"/>
          <w:b/>
          <w:sz w:val="18"/>
        </w:rPr>
        <w:t>7</w:t>
      </w:r>
    </w:p>
    <w:p>
      <w:pPr>
        <w:spacing w:line="252" w:lineRule="auto" w:after="40"/>
      </w:pPr>
      <w:r>
        <w:rPr>
          <w:rFonts w:ascii="Times New Roman" w:hAnsi="Times New Roman"/>
          <w:sz w:val="18"/>
        </w:rPr>
        <w:t>Figure 3: Backend Server ZeroDivisionError Crash Terminal Output &amp; Structured Telemetry</w:t>
      </w:r>
      <w:r>
        <w:rPr>
          <w:color w:val="94A3B8"/>
        </w:rPr>
        <w:t xml:space="preserve"> .... </w:t>
      </w:r>
      <w:r>
        <w:rPr>
          <w:rFonts w:ascii="Times New Roman" w:hAnsi="Times New Roman"/>
          <w:b/>
          <w:sz w:val="18"/>
        </w:rPr>
        <w:t>8</w:t>
      </w:r>
    </w:p>
    <w:p>
      <w:pPr>
        <w:spacing w:line="252" w:lineRule="auto" w:after="40"/>
      </w:pPr>
      <w:r>
        <w:rPr>
          <w:rFonts w:ascii="Times New Roman" w:hAnsi="Times New Roman"/>
          <w:sz w:val="18"/>
        </w:rPr>
        <w:t>Figure 4: Graceful Frontend Stockout Exception Interception and Customer Insulation</w:t>
      </w:r>
      <w:r>
        <w:rPr>
          <w:color w:val="94A3B8"/>
        </w:rPr>
        <w:t xml:space="preserve"> .... </w:t>
      </w:r>
      <w:r>
        <w:rPr>
          <w:rFonts w:ascii="Times New Roman" w:hAnsi="Times New Roman"/>
          <w:b/>
          <w:sz w:val="18"/>
        </w:rPr>
        <w:t>9</w:t>
      </w:r>
    </w:p>
    <w:p>
      <w:pPr>
        <w:spacing w:line="252" w:lineRule="auto" w:after="40"/>
      </w:pPr>
      <w:r>
        <w:rPr>
          <w:rFonts w:ascii="Times New Roman" w:hAnsi="Times New Roman"/>
          <w:sz w:val="18"/>
        </w:rPr>
        <w:t>Figure 5: AWS CloudWatch Metric Filter &amp; SRE Telemetry Backstage Dashboard</w:t>
      </w:r>
      <w:r>
        <w:rPr>
          <w:color w:val="94A3B8"/>
        </w:rPr>
        <w:t xml:space="preserve"> .... </w:t>
      </w:r>
      <w:r>
        <w:rPr>
          <w:rFonts w:ascii="Times New Roman" w:hAnsi="Times New Roman"/>
          <w:b/>
          <w:sz w:val="18"/>
        </w:rPr>
        <w:t>10</w:t>
      </w:r>
    </w:p>
    <w:p>
      <w:pPr>
        <w:spacing w:line="252" w:lineRule="auto" w:after="40"/>
      </w:pPr>
      <w:r>
        <w:rPr>
          <w:rFonts w:ascii="Times New Roman" w:hAnsi="Times New Roman"/>
          <w:sz w:val="18"/>
        </w:rPr>
        <w:t>Figure 6: Immutable Incident Forensic Evidence Archived in Amazon S3 Bucket Vault</w:t>
      </w:r>
      <w:r>
        <w:rPr>
          <w:color w:val="94A3B8"/>
        </w:rPr>
        <w:t xml:space="preserve"> .... </w:t>
      </w:r>
      <w:r>
        <w:rPr>
          <w:rFonts w:ascii="Times New Roman" w:hAnsi="Times New Roman"/>
          <w:b/>
          <w:sz w:val="18"/>
        </w:rPr>
        <w:t>11</w:t>
      </w:r>
    </w:p>
    <w:p>
      <w:pPr>
        <w:spacing w:line="252" w:lineRule="auto" w:after="40"/>
      </w:pPr>
      <w:r>
        <w:rPr>
          <w:rFonts w:ascii="Times New Roman" w:hAnsi="Times New Roman"/>
          <w:sz w:val="18"/>
        </w:rPr>
        <w:t>Figure 7: Automated Agile Bug User Story Minted on GitHub Issues with Definition of Done</w:t>
      </w:r>
      <w:r>
        <w:rPr>
          <w:color w:val="94A3B8"/>
        </w:rPr>
        <w:t xml:space="preserve"> .... </w:t>
      </w:r>
      <w:r>
        <w:rPr>
          <w:rFonts w:ascii="Times New Roman" w:hAnsi="Times New Roman"/>
          <w:b/>
          <w:sz w:val="18"/>
        </w:rPr>
        <w:t>12</w:t>
      </w:r>
    </w:p>
    <w:p>
      <w:pPr>
        <w:spacing w:line="252" w:lineRule="auto" w:after="40"/>
      </w:pPr>
      <w:r>
        <w:rPr>
          <w:rFonts w:ascii="Times New Roman" w:hAnsi="Times New Roman"/>
          <w:sz w:val="18"/>
        </w:rPr>
        <w:t>Figure 8: GitHub Actions CI/CD Automated Pytest Regression Suite and Zero-Touch Closure</w:t>
      </w:r>
      <w:r>
        <w:rPr>
          <w:color w:val="94A3B8"/>
        </w:rPr>
        <w:t xml:space="preserve"> .... </w:t>
      </w:r>
      <w:r>
        <w:rPr>
          <w:rFonts w:ascii="Times New Roman" w:hAnsi="Times New Roman"/>
          <w:b/>
          <w:sz w:val="18"/>
        </w:rPr>
        <w:t>14</w:t>
      </w:r>
    </w:p>
    <w:p>
      <w:pPr>
        <w:spacing w:line="252" w:lineRule="auto" w:after="40"/>
      </w:pPr>
      <w:r>
        <w:rPr>
          <w:rFonts w:ascii="Times New Roman" w:hAnsi="Times New Roman"/>
          <w:sz w:val="18"/>
        </w:rPr>
        <w:t>Figure 9: Closed-Loop Telemetry &amp; GitOps Security Safety Gate Architecture</w:t>
      </w:r>
      <w:r>
        <w:rPr>
          <w:color w:val="94A3B8"/>
        </w:rPr>
        <w:t xml:space="preserve"> .... </w:t>
      </w:r>
      <w:r>
        <w:rPr>
          <w:rFonts w:ascii="Times New Roman" w:hAnsi="Times New Roman"/>
          <w:b/>
          <w:sz w:val="18"/>
        </w:rPr>
        <w:t>15</w:t>
      </w:r>
    </w:p>
    <w:p>
      <w:pPr>
        <w:spacing w:line="252" w:lineRule="auto" w:after="40"/>
      </w:pPr>
      <w:r>
        <w:rPr>
          <w:rFonts w:ascii="Times New Roman" w:hAnsi="Times New Roman"/>
          <w:sz w:val="18"/>
        </w:rPr>
        <w:t>Figure 10: AWS Serverless Live Production Topology in Sydney (ap-southeast-2)</w:t>
      </w:r>
      <w:r>
        <w:rPr>
          <w:color w:val="94A3B8"/>
        </w:rPr>
        <w:t xml:space="preserve"> .... </w:t>
      </w:r>
      <w:r>
        <w:rPr>
          <w:rFonts w:ascii="Times New Roman" w:hAnsi="Times New Roman"/>
          <w:b/>
          <w:sz w:val="18"/>
        </w:rPr>
        <w:t>15</w:t>
      </w:r>
    </w:p>
    <w:p>
      <w:pPr>
        <w:spacing w:line="252" w:lineRule="auto" w:after="40"/>
      </w:pPr>
      <w:r>
        <w:rPr>
          <w:rFonts w:ascii="Times New Roman" w:hAnsi="Times New Roman"/>
          <w:sz w:val="18"/>
        </w:rPr>
        <w:t>Figure 11: End-to-End Autonomous Incident-to-Agile Remediation Workflow</w:t>
      </w:r>
      <w:r>
        <w:rPr>
          <w:color w:val="94A3B8"/>
        </w:rPr>
        <w:t xml:space="preserve"> .... </w:t>
      </w:r>
      <w:r>
        <w:rPr>
          <w:rFonts w:ascii="Times New Roman" w:hAnsi="Times New Roman"/>
          <w:b/>
          <w:sz w:val="18"/>
        </w:rPr>
        <w:t>16</w:t>
      </w:r>
    </w:p>
    <w:p>
      <w:pPr>
        <w:spacing w:before="320" w:after="200"/>
        <w:jc w:val="center"/>
      </w:pPr>
      <w:r>
        <w:rPr>
          <w:rFonts w:ascii="Times New Roman" w:hAnsi="Times New Roman"/>
          <w:b/>
          <w:color w:val="0F172A"/>
          <w:sz w:val="27"/>
        </w:rPr>
        <w:t>LIST OF TABLES</w:t>
      </w:r>
    </w:p>
    <w:p>
      <w:pPr>
        <w:spacing w:line="252" w:lineRule="auto" w:after="40"/>
      </w:pPr>
      <w:r>
        <w:rPr>
          <w:rFonts w:ascii="Times New Roman" w:hAnsi="Times New Roman"/>
          <w:sz w:val="18"/>
        </w:rPr>
        <w:t>Table 1.1: Component Architectural Responsibilities Across the Three Tiers</w:t>
      </w:r>
      <w:r>
        <w:rPr>
          <w:color w:val="94A3B8"/>
        </w:rPr>
        <w:t xml:space="preserve"> .... </w:t>
      </w:r>
      <w:r>
        <w:rPr>
          <w:rFonts w:ascii="Times New Roman" w:hAnsi="Times New Roman"/>
          <w:b/>
          <w:sz w:val="18"/>
        </w:rPr>
        <w:t>6</w:t>
      </w:r>
    </w:p>
    <w:p>
      <w:pPr>
        <w:spacing w:line="252" w:lineRule="auto" w:after="40"/>
      </w:pPr>
      <w:r>
        <w:rPr>
          <w:rFonts w:ascii="Times New Roman" w:hAnsi="Times New Roman"/>
          <w:sz w:val="18"/>
        </w:rPr>
        <w:t>Table 9.1: AWS Free Tier Monthly Compute and Storage Cost Breakdown</w:t>
      </w:r>
      <w:r>
        <w:rPr>
          <w:color w:val="94A3B8"/>
        </w:rPr>
        <w:t xml:space="preserve"> .... </w:t>
      </w:r>
      <w:r>
        <w:rPr>
          <w:rFonts w:ascii="Times New Roman" w:hAnsi="Times New Roman"/>
          <w:b/>
          <w:sz w:val="18"/>
        </w:rPr>
        <w:t>15</w:t>
      </w:r>
    </w:p>
    <w:p>
      <w:r>
        <w:br w:type="page"/>
      </w:r>
    </w:p>
    <w:p>
      <w:pPr>
        <w:keepNext/>
        <w:spacing w:before="320" w:after="120"/>
      </w:pPr>
      <w:r>
        <w:rPr>
          <w:rFonts w:ascii="Times New Roman" w:hAnsi="Times New Roman"/>
          <w:b/>
          <w:color w:val="0F172A"/>
          <w:sz w:val="31"/>
        </w:rPr>
        <w:t>1. Application Overview &amp; System Architecture</w:t>
      </w:r>
    </w:p>
    <w:p>
      <w:pPr>
        <w:keepNext/>
        <w:spacing w:before="240" w:after="80"/>
      </w:pPr>
      <w:r>
        <w:rPr>
          <w:rFonts w:ascii="Times New Roman" w:hAnsi="Times New Roman"/>
          <w:b/>
          <w:color w:val="1E293B"/>
          <w:sz w:val="26"/>
        </w:rPr>
        <w:t>1.1 Purpose and Industry Motivation</w:t>
      </w:r>
    </w:p>
    <w:p>
      <w:pPr>
        <w:spacing w:line="300" w:lineRule="auto" w:after="100" w:before="0"/>
        <w:jc w:val="both"/>
      </w:pPr>
      <w:r>
        <w:rPr>
          <w:rFonts w:ascii="Times New Roman" w:hAnsi="Times New Roman"/>
          <w:i w:val="0"/>
          <w:color w:val="111827"/>
          <w:sz w:val="23"/>
        </w:rPr>
        <w:t>In modern cloud-native enterprise operations, high-velocity consumer applications—such as quick-commerce grocery delivery, flash sale electronics storefronts, and on-demand logistics—operate under extreme demand volatility. During promotional events, concurrent user traffic frequently surges by 50 to 100 times baseline levels within seconds. Under these surge conditions, localized physical dark store inventory is rapidly depleted to zero. When backend checkout and delivery allocation microservices lack robust boundary validation, algorithms calculating delivery ratios or promotional discounts encounter fatal arithmetic exceptions, resulting in unhandled ZeroDivisionError crashes and widespread HTTP 500 outages.</w:t>
      </w:r>
    </w:p>
    <w:p>
      <w:pPr>
        <w:spacing w:line="300" w:lineRule="auto" w:after="100" w:before="0"/>
        <w:jc w:val="both"/>
      </w:pPr>
      <w:r>
        <w:rPr>
          <w:rFonts w:ascii="Times New Roman" w:hAnsi="Times New Roman"/>
          <w:i w:val="0"/>
          <w:color w:val="111827"/>
          <w:sz w:val="23"/>
        </w:rPr>
        <w:t>Traditional incident management paradigms rely heavily on passive monitoring dashboards, email alert notifications, or manual on-call escalation rotations (e.g., PagerDuty dispatching to human support engineers). In standard organizations, support personnel take between 2 and 8 hours to identify the crash, locate the relevant log streams in cloud consoles, reproduce the fault in staging environments, and manually transcribe the defect into Jira or GitHub Issues. This manual handoff introduces crippling Mean-Time-to-Acknowledge (MTTA) latency, drains developer productivity, and corrupts sprint burndown velocity.</w:t>
      </w:r>
    </w:p>
    <w:p>
      <w:pPr>
        <w:spacing w:line="300" w:lineRule="auto" w:after="100" w:before="0"/>
        <w:jc w:val="both"/>
      </w:pPr>
      <w:r>
        <w:rPr>
          <w:rFonts w:ascii="Times New Roman" w:hAnsi="Times New Roman"/>
          <w:i w:val="0"/>
          <w:color w:val="111827"/>
          <w:sz w:val="23"/>
        </w:rPr>
        <w:t>DevOps Incident Watchdog bridges this critical operational chasm. It establishes an autonomous, event-driven, closed-loop Site Reliability Engineering (SRE) and Agile remediation feedback pipeline. The platform pairs a production quick-commerce microservice (FlashMart Tech) with automated CloudWatch metric filters, serverless triage engines, immutable Amazon S3 forensic storage, and zero-touch GitHub sprint backlog ticket creation.</w:t>
      </w:r>
    </w:p>
    <w:p>
      <w:pPr>
        <w:keepNext/>
        <w:spacing w:before="240" w:after="80"/>
      </w:pPr>
      <w:r>
        <w:rPr>
          <w:rFonts w:ascii="Times New Roman" w:hAnsi="Times New Roman"/>
          <w:b/>
          <w:color w:val="1E293B"/>
          <w:sz w:val="26"/>
        </w:rPr>
        <w:t>1.2 Architectural Decoupling: Three-Tier Model</w:t>
      </w:r>
    </w:p>
    <w:p>
      <w:pPr>
        <w:spacing w:line="300" w:lineRule="auto" w:after="100" w:before="0"/>
        <w:jc w:val="both"/>
      </w:pPr>
      <w:r>
        <w:rPr>
          <w:rFonts w:ascii="Times New Roman" w:hAnsi="Times New Roman"/>
          <w:i w:val="0"/>
          <w:color w:val="111827"/>
          <w:sz w:val="23"/>
        </w:rPr>
        <w:t>The entire platform is architected according to decoupled, service-oriented principles across three distinct operational layers. Figure 1 illustrates this decoupled minimal system architecture and the directional data flow governing inter-tier communication.</w:t>
      </w:r>
    </w:p>
    <w:p>
      <w:pPr>
        <w:keepNext/>
        <w:spacing w:before="160" w:after="40"/>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2125980"/>
                    </a:xfrm>
                    <a:prstGeom prst="rect"/>
                  </pic:spPr>
                </pic:pic>
              </a:graphicData>
            </a:graphic>
          </wp:inline>
        </w:drawing>
      </w:r>
    </w:p>
    <w:p>
      <w:pPr>
        <w:keepNext w:val="0"/>
        <w:spacing w:before="40" w:after="200"/>
        <w:jc w:val="center"/>
      </w:pPr>
      <w:r>
        <w:rPr>
          <w:rFonts w:ascii="Times New Roman" w:hAnsi="Times New Roman"/>
          <w:b/>
          <w:i/>
          <w:color w:val="0F172A"/>
          <w:sz w:val="20"/>
        </w:rPr>
        <w:t>Figure 1: High-Level Minimal Architecture Diagram of DevOps Incident Watchdog</w:t>
      </w:r>
    </w:p>
    <w:p>
      <w:pPr>
        <w:keepNext/>
        <w:spacing w:before="240" w:after="80"/>
      </w:pPr>
      <w:r>
        <w:rPr>
          <w:rFonts w:ascii="Times New Roman" w:hAnsi="Times New Roman"/>
          <w:b/>
          <w:color w:val="1E293B"/>
          <w:sz w:val="26"/>
        </w:rPr>
        <w:t>1.3 Component Responsibilities Matrix</w:t>
      </w:r>
    </w:p>
    <w:p>
      <w:pPr>
        <w:spacing w:line="300" w:lineRule="auto" w:after="100" w:before="0"/>
        <w:jc w:val="both"/>
      </w:pPr>
      <w:r>
        <w:rPr>
          <w:rFonts w:ascii="Times New Roman" w:hAnsi="Times New Roman"/>
          <w:i w:val="0"/>
          <w:color w:val="111827"/>
          <w:sz w:val="23"/>
        </w:rPr>
        <w:t>Table 1.1 specifies the primary source files, execution runtimes, and core architectural responsibilities across all platform components.</w:t>
      </w:r>
    </w:p>
    <w:p>
      <w:pPr>
        <w:keepNext/>
        <w:spacing w:before="160" w:after="80"/>
        <w:jc w:val="center"/>
      </w:pPr>
      <w:r>
        <w:rPr>
          <w:rFonts w:ascii="Times New Roman" w:hAnsi="Times New Roman"/>
          <w:b/>
          <w:color w:val="0F172A"/>
          <w:sz w:val="20"/>
        </w:rPr>
        <w:t>Table 1.1: Component Architectural Responsibilities Across the Three Tiers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1440"/>
            <w:shd w:fill="1E293B"/>
          </w:tcPr>
          <w:p>
            <w:pPr>
              <w:spacing w:before="80" w:after="80"/>
              <w:jc w:val="left"/>
            </w:pPr>
            <w:r>
              <w:rPr>
                <w:rFonts w:ascii="Times New Roman" w:hAnsi="Times New Roman"/>
                <w:b/>
                <w:color w:val="FFFFFF"/>
                <w:sz w:val="19"/>
              </w:rPr>
              <w:t>Tier</w:t>
            </w:r>
          </w:p>
        </w:tc>
        <w:tc>
          <w:tcPr>
            <w:tcW w:type="dxa" w:w="2016"/>
            <w:shd w:fill="1E293B"/>
          </w:tcPr>
          <w:p>
            <w:pPr>
              <w:spacing w:before="80" w:after="80"/>
              <w:jc w:val="left"/>
            </w:pPr>
            <w:r>
              <w:rPr>
                <w:rFonts w:ascii="Times New Roman" w:hAnsi="Times New Roman"/>
                <w:b/>
                <w:color w:val="FFFFFF"/>
                <w:sz w:val="19"/>
              </w:rPr>
              <w:t>Component Name</w:t>
            </w:r>
          </w:p>
        </w:tc>
        <w:tc>
          <w:tcPr>
            <w:tcW w:type="dxa" w:w="2304"/>
            <w:shd w:fill="1E293B"/>
          </w:tcPr>
          <w:p>
            <w:pPr>
              <w:spacing w:before="80" w:after="80"/>
              <w:jc w:val="left"/>
            </w:pPr>
            <w:r>
              <w:rPr>
                <w:rFonts w:ascii="Times New Roman" w:hAnsi="Times New Roman"/>
                <w:b/>
                <w:color w:val="FFFFFF"/>
                <w:sz w:val="19"/>
              </w:rPr>
              <w:t>Source File / Target</w:t>
            </w:r>
          </w:p>
        </w:tc>
        <w:tc>
          <w:tcPr>
            <w:tcW w:type="dxa" w:w="3456"/>
            <w:shd w:fill="1E293B"/>
          </w:tcPr>
          <w:p>
            <w:pPr>
              <w:spacing w:before="80" w:after="80"/>
              <w:jc w:val="left"/>
            </w:pPr>
            <w:r>
              <w:rPr>
                <w:rFonts w:ascii="Times New Roman" w:hAnsi="Times New Roman"/>
                <w:b/>
                <w:color w:val="FFFFFF"/>
                <w:sz w:val="19"/>
              </w:rPr>
              <w:t>Core Operational Responsibility</w:t>
            </w:r>
          </w:p>
        </w:tc>
      </w:tr>
      <w:tr>
        <w:tc>
          <w:tcPr>
            <w:tcW w:type="dxa" w:w="1440"/>
            <w:shd w:fill="FFFFFF"/>
          </w:tcPr>
          <w:p>
            <w:pPr>
              <w:spacing w:before="60" w:after="60" w:line="276" w:lineRule="auto"/>
              <w:jc w:val="left"/>
            </w:pPr>
            <w:r>
              <w:rPr>
                <w:rFonts w:ascii="Times New Roman" w:hAnsi="Times New Roman"/>
                <w:color w:val="1E293B"/>
                <w:sz w:val="18"/>
              </w:rPr>
              <w:t>Tier 1: Client</w:t>
            </w:r>
          </w:p>
        </w:tc>
        <w:tc>
          <w:tcPr>
            <w:tcW w:type="dxa" w:w="2016"/>
            <w:shd w:fill="FFFFFF"/>
          </w:tcPr>
          <w:p>
            <w:pPr>
              <w:spacing w:before="60" w:after="60" w:line="276" w:lineRule="auto"/>
              <w:jc w:val="left"/>
            </w:pPr>
            <w:r>
              <w:rPr>
                <w:rFonts w:ascii="Times New Roman" w:hAnsi="Times New Roman"/>
                <w:color w:val="1E293B"/>
                <w:sz w:val="18"/>
              </w:rPr>
              <w:t>FlashMart Storefront</w:t>
            </w:r>
          </w:p>
        </w:tc>
        <w:tc>
          <w:tcPr>
            <w:tcW w:type="dxa" w:w="2304"/>
            <w:shd w:fill="FFFFFF"/>
          </w:tcPr>
          <w:p>
            <w:pPr>
              <w:spacing w:before="60" w:after="60" w:line="276" w:lineRule="auto"/>
              <w:jc w:val="left"/>
            </w:pPr>
            <w:r>
              <w:rPr>
                <w:rFonts w:ascii="Times New Roman" w:hAnsi="Times New Roman"/>
                <w:color w:val="1E293B"/>
                <w:sz w:val="18"/>
              </w:rPr>
              <w:t>templates/index.html</w:t>
            </w:r>
          </w:p>
        </w:tc>
        <w:tc>
          <w:tcPr>
            <w:tcW w:type="dxa" w:w="3456"/>
            <w:shd w:fill="FFFFFF"/>
          </w:tcPr>
          <w:p>
            <w:pPr>
              <w:spacing w:before="60" w:after="60" w:line="276" w:lineRule="auto"/>
              <w:jc w:val="left"/>
            </w:pPr>
            <w:r>
              <w:rPr>
                <w:rFonts w:ascii="Times New Roman" w:hAnsi="Times New Roman"/>
                <w:color w:val="1E293B"/>
                <w:sz w:val="18"/>
              </w:rPr>
              <w:t>Responsive SPA catalog, delivery hub selection, and order dispatch.</w:t>
            </w:r>
          </w:p>
        </w:tc>
      </w:tr>
      <w:tr>
        <w:tc>
          <w:tcPr>
            <w:tcW w:type="dxa" w:w="1440"/>
            <w:shd w:fill="F8FAFC"/>
          </w:tcPr>
          <w:p>
            <w:pPr>
              <w:spacing w:before="60" w:after="60" w:line="276" w:lineRule="auto"/>
              <w:jc w:val="left"/>
            </w:pPr>
            <w:r>
              <w:rPr>
                <w:rFonts w:ascii="Times New Roman" w:hAnsi="Times New Roman"/>
                <w:color w:val="1E293B"/>
                <w:sz w:val="18"/>
              </w:rPr>
              <w:t>Tier 1: Client</w:t>
            </w:r>
          </w:p>
        </w:tc>
        <w:tc>
          <w:tcPr>
            <w:tcW w:type="dxa" w:w="2016"/>
            <w:shd w:fill="F8FAFC"/>
          </w:tcPr>
          <w:p>
            <w:pPr>
              <w:spacing w:before="60" w:after="60" w:line="276" w:lineRule="auto"/>
              <w:jc w:val="left"/>
            </w:pPr>
            <w:r>
              <w:rPr>
                <w:rFonts w:ascii="Times New Roman" w:hAnsi="Times New Roman"/>
                <w:color w:val="1E293B"/>
                <w:sz w:val="18"/>
              </w:rPr>
              <w:t>Exception Shield</w:t>
            </w:r>
          </w:p>
        </w:tc>
        <w:tc>
          <w:tcPr>
            <w:tcW w:type="dxa" w:w="2304"/>
            <w:shd w:fill="F8FAFC"/>
          </w:tcPr>
          <w:p>
            <w:pPr>
              <w:spacing w:before="60" w:after="60" w:line="276" w:lineRule="auto"/>
              <w:jc w:val="left"/>
            </w:pPr>
            <w:r>
              <w:rPr>
                <w:rFonts w:ascii="Times New Roman" w:hAnsi="Times New Roman"/>
                <w:color w:val="1E293B"/>
                <w:sz w:val="18"/>
              </w:rPr>
              <w:t>templates/index.html</w:t>
            </w:r>
          </w:p>
        </w:tc>
        <w:tc>
          <w:tcPr>
            <w:tcW w:type="dxa" w:w="3456"/>
            <w:shd w:fill="F8FAFC"/>
          </w:tcPr>
          <w:p>
            <w:pPr>
              <w:spacing w:before="60" w:after="60" w:line="276" w:lineRule="auto"/>
              <w:jc w:val="left"/>
            </w:pPr>
            <w:r>
              <w:rPr>
                <w:rFonts w:ascii="Times New Roman" w:hAnsi="Times New Roman"/>
                <w:color w:val="1E293B"/>
                <w:sz w:val="18"/>
              </w:rPr>
              <w:t>Intercepts HTTP 500 errors and renders polite stockout waitlist drawer.</w:t>
            </w:r>
          </w:p>
        </w:tc>
      </w:tr>
      <w:tr>
        <w:tc>
          <w:tcPr>
            <w:tcW w:type="dxa" w:w="1440"/>
            <w:shd w:fill="FFFFFF"/>
          </w:tcPr>
          <w:p>
            <w:pPr>
              <w:spacing w:before="60" w:after="60" w:line="276" w:lineRule="auto"/>
              <w:jc w:val="left"/>
            </w:pPr>
            <w:r>
              <w:rPr>
                <w:rFonts w:ascii="Times New Roman" w:hAnsi="Times New Roman"/>
                <w:color w:val="1E293B"/>
                <w:sz w:val="18"/>
              </w:rPr>
              <w:t>Tier 2: Compute</w:t>
            </w:r>
          </w:p>
        </w:tc>
        <w:tc>
          <w:tcPr>
            <w:tcW w:type="dxa" w:w="2016"/>
            <w:shd w:fill="FFFFFF"/>
          </w:tcPr>
          <w:p>
            <w:pPr>
              <w:spacing w:before="60" w:after="60" w:line="276" w:lineRule="auto"/>
              <w:jc w:val="left"/>
            </w:pPr>
            <w:r>
              <w:rPr>
                <w:rFonts w:ascii="Times New Roman" w:hAnsi="Times New Roman"/>
                <w:color w:val="1E293B"/>
                <w:sz w:val="18"/>
              </w:rPr>
              <w:t>Target Microservice</w:t>
            </w:r>
          </w:p>
        </w:tc>
        <w:tc>
          <w:tcPr>
            <w:tcW w:type="dxa" w:w="2304"/>
            <w:shd w:fill="FFFFFF"/>
          </w:tcPr>
          <w:p>
            <w:pPr>
              <w:spacing w:before="60" w:after="60" w:line="276" w:lineRule="auto"/>
              <w:jc w:val="left"/>
            </w:pPr>
            <w:r>
              <w:rPr>
                <w:rFonts w:ascii="Times New Roman" w:hAnsi="Times New Roman"/>
                <w:color w:val="1E293B"/>
                <w:sz w:val="18"/>
              </w:rPr>
              <w:t>app/app.py (Lambda)</w:t>
            </w:r>
          </w:p>
        </w:tc>
        <w:tc>
          <w:tcPr>
            <w:tcW w:type="dxa" w:w="3456"/>
            <w:shd w:fill="FFFFFF"/>
          </w:tcPr>
          <w:p>
            <w:pPr>
              <w:spacing w:before="60" w:after="60" w:line="276" w:lineRule="auto"/>
              <w:jc w:val="left"/>
            </w:pPr>
            <w:r>
              <w:rPr>
                <w:rFonts w:ascii="Times New Roman" w:hAnsi="Times New Roman"/>
                <w:color w:val="1E293B"/>
                <w:sz w:val="18"/>
              </w:rPr>
              <w:t>Processes checkout requests; executes zero-stock allocation calculation.</w:t>
            </w:r>
          </w:p>
        </w:tc>
      </w:tr>
      <w:tr>
        <w:tc>
          <w:tcPr>
            <w:tcW w:type="dxa" w:w="1440"/>
            <w:shd w:fill="F8FAFC"/>
          </w:tcPr>
          <w:p>
            <w:pPr>
              <w:spacing w:before="60" w:after="60" w:line="276" w:lineRule="auto"/>
              <w:jc w:val="left"/>
            </w:pPr>
            <w:r>
              <w:rPr>
                <w:rFonts w:ascii="Times New Roman" w:hAnsi="Times New Roman"/>
                <w:color w:val="1E293B"/>
                <w:sz w:val="18"/>
              </w:rPr>
              <w:t>Tier 2: Compute</w:t>
            </w:r>
          </w:p>
        </w:tc>
        <w:tc>
          <w:tcPr>
            <w:tcW w:type="dxa" w:w="2016"/>
            <w:shd w:fill="F8FAFC"/>
          </w:tcPr>
          <w:p>
            <w:pPr>
              <w:spacing w:before="60" w:after="60" w:line="276" w:lineRule="auto"/>
              <w:jc w:val="left"/>
            </w:pPr>
            <w:r>
              <w:rPr>
                <w:rFonts w:ascii="Times New Roman" w:hAnsi="Times New Roman"/>
                <w:color w:val="1E293B"/>
                <w:sz w:val="18"/>
              </w:rPr>
              <w:t>Watchdog Lambda</w:t>
            </w:r>
          </w:p>
        </w:tc>
        <w:tc>
          <w:tcPr>
            <w:tcW w:type="dxa" w:w="2304"/>
            <w:shd w:fill="F8FAFC"/>
          </w:tcPr>
          <w:p>
            <w:pPr>
              <w:spacing w:before="60" w:after="60" w:line="276" w:lineRule="auto"/>
              <w:jc w:val="left"/>
            </w:pPr>
            <w:r>
              <w:rPr>
                <w:rFonts w:ascii="Times New Roman" w:hAnsi="Times New Roman"/>
                <w:color w:val="1E293B"/>
                <w:sz w:val="18"/>
              </w:rPr>
              <w:t>lambda_watchdog/watchdog.py</w:t>
            </w:r>
          </w:p>
        </w:tc>
        <w:tc>
          <w:tcPr>
            <w:tcW w:type="dxa" w:w="3456"/>
            <w:shd w:fill="F8FAFC"/>
          </w:tcPr>
          <w:p>
            <w:pPr>
              <w:spacing w:before="60" w:after="60" w:line="276" w:lineRule="auto"/>
              <w:jc w:val="left"/>
            </w:pPr>
            <w:r>
              <w:rPr>
                <w:rFonts w:ascii="Times New Roman" w:hAnsi="Times New Roman"/>
                <w:color w:val="1E293B"/>
                <w:sz w:val="18"/>
              </w:rPr>
              <w:t>Decompresses gzip crash telemetry, mints INC-IDs, and calls S3/GitHub.</w:t>
            </w:r>
          </w:p>
        </w:tc>
      </w:tr>
      <w:tr>
        <w:tc>
          <w:tcPr>
            <w:tcW w:type="dxa" w:w="1440"/>
            <w:shd w:fill="FFFFFF"/>
          </w:tcPr>
          <w:p>
            <w:pPr>
              <w:spacing w:before="60" w:after="60" w:line="276" w:lineRule="auto"/>
              <w:jc w:val="left"/>
            </w:pPr>
            <w:r>
              <w:rPr>
                <w:rFonts w:ascii="Times New Roman" w:hAnsi="Times New Roman"/>
                <w:color w:val="1E293B"/>
                <w:sz w:val="18"/>
              </w:rPr>
              <w:t>Tier 3: Cloud</w:t>
            </w:r>
          </w:p>
        </w:tc>
        <w:tc>
          <w:tcPr>
            <w:tcW w:type="dxa" w:w="2016"/>
            <w:shd w:fill="FFFFFF"/>
          </w:tcPr>
          <w:p>
            <w:pPr>
              <w:spacing w:before="60" w:after="60" w:line="276" w:lineRule="auto"/>
              <w:jc w:val="left"/>
            </w:pPr>
            <w:r>
              <w:rPr>
                <w:rFonts w:ascii="Times New Roman" w:hAnsi="Times New Roman"/>
                <w:color w:val="1E293B"/>
                <w:sz w:val="18"/>
              </w:rPr>
              <w:t>Amazon CloudWatch</w:t>
            </w:r>
          </w:p>
        </w:tc>
        <w:tc>
          <w:tcPr>
            <w:tcW w:type="dxa" w:w="2304"/>
            <w:shd w:fill="FFFFFF"/>
          </w:tcPr>
          <w:p>
            <w:pPr>
              <w:spacing w:before="60" w:after="60" w:line="276" w:lineRule="auto"/>
              <w:jc w:val="left"/>
            </w:pPr>
            <w:r>
              <w:rPr>
                <w:rFonts w:ascii="Times New Roman" w:hAnsi="Times New Roman"/>
                <w:color w:val="1E293B"/>
                <w:sz w:val="18"/>
              </w:rPr>
              <w:t>Log Filter Ingestion</w:t>
            </w:r>
          </w:p>
        </w:tc>
        <w:tc>
          <w:tcPr>
            <w:tcW w:type="dxa" w:w="3456"/>
            <w:shd w:fill="FFFFFF"/>
          </w:tcPr>
          <w:p>
            <w:pPr>
              <w:spacing w:before="60" w:after="60" w:line="276" w:lineRule="auto"/>
              <w:jc w:val="left"/>
            </w:pPr>
            <w:r>
              <w:rPr>
                <w:rFonts w:ascii="Times New Roman" w:hAnsi="Times New Roman"/>
                <w:color w:val="1E293B"/>
                <w:sz w:val="18"/>
              </w:rPr>
              <w:t>Sub-5-second metric filter pattern matching for [CRITICAL_ALERT] in stdout.</w:t>
            </w:r>
          </w:p>
        </w:tc>
      </w:tr>
      <w:tr>
        <w:tc>
          <w:tcPr>
            <w:tcW w:type="dxa" w:w="1440"/>
            <w:shd w:fill="F8FAFC"/>
          </w:tcPr>
          <w:p>
            <w:pPr>
              <w:spacing w:before="60" w:after="60" w:line="276" w:lineRule="auto"/>
              <w:jc w:val="left"/>
            </w:pPr>
            <w:r>
              <w:rPr>
                <w:rFonts w:ascii="Times New Roman" w:hAnsi="Times New Roman"/>
                <w:color w:val="1E293B"/>
                <w:sz w:val="18"/>
              </w:rPr>
              <w:t>Tier 3: Cloud</w:t>
            </w:r>
          </w:p>
        </w:tc>
        <w:tc>
          <w:tcPr>
            <w:tcW w:type="dxa" w:w="2016"/>
            <w:shd w:fill="F8FAFC"/>
          </w:tcPr>
          <w:p>
            <w:pPr>
              <w:spacing w:before="60" w:after="60" w:line="276" w:lineRule="auto"/>
              <w:jc w:val="left"/>
            </w:pPr>
            <w:r>
              <w:rPr>
                <w:rFonts w:ascii="Times New Roman" w:hAnsi="Times New Roman"/>
                <w:color w:val="1E293B"/>
                <w:sz w:val="18"/>
              </w:rPr>
              <w:t>Amazon S3 Vault</w:t>
            </w:r>
          </w:p>
        </w:tc>
        <w:tc>
          <w:tcPr>
            <w:tcW w:type="dxa" w:w="2304"/>
            <w:shd w:fill="F8FAFC"/>
          </w:tcPr>
          <w:p>
            <w:pPr>
              <w:spacing w:before="60" w:after="60" w:line="276" w:lineRule="auto"/>
              <w:jc w:val="left"/>
            </w:pPr>
            <w:r>
              <w:rPr>
                <w:rFonts w:ascii="Times New Roman" w:hAnsi="Times New Roman"/>
                <w:color w:val="1E293B"/>
                <w:sz w:val="18"/>
              </w:rPr>
              <w:t>S3 Standard Bucket</w:t>
            </w:r>
          </w:p>
        </w:tc>
        <w:tc>
          <w:tcPr>
            <w:tcW w:type="dxa" w:w="3456"/>
            <w:shd w:fill="F8FAFC"/>
          </w:tcPr>
          <w:p>
            <w:pPr>
              <w:spacing w:before="60" w:after="60" w:line="276" w:lineRule="auto"/>
              <w:jc w:val="left"/>
            </w:pPr>
            <w:r>
              <w:rPr>
                <w:rFonts w:ascii="Times New Roman" w:hAnsi="Times New Roman"/>
                <w:color w:val="1E293B"/>
                <w:sz w:val="18"/>
              </w:rPr>
              <w:t>Immutable JSON forensic crash dump persistence with 11 9's durability.</w:t>
            </w:r>
          </w:p>
        </w:tc>
      </w:tr>
      <w:tr>
        <w:tc>
          <w:tcPr>
            <w:tcW w:type="dxa" w:w="1440"/>
            <w:shd w:fill="FFFFFF"/>
          </w:tcPr>
          <w:p>
            <w:pPr>
              <w:spacing w:before="60" w:after="60" w:line="276" w:lineRule="auto"/>
              <w:jc w:val="left"/>
            </w:pPr>
            <w:r>
              <w:rPr>
                <w:rFonts w:ascii="Times New Roman" w:hAnsi="Times New Roman"/>
                <w:color w:val="1E293B"/>
                <w:sz w:val="18"/>
              </w:rPr>
              <w:t>Tier 3: Cloud</w:t>
            </w:r>
          </w:p>
        </w:tc>
        <w:tc>
          <w:tcPr>
            <w:tcW w:type="dxa" w:w="2016"/>
            <w:shd w:fill="FFFFFF"/>
          </w:tcPr>
          <w:p>
            <w:pPr>
              <w:spacing w:before="60" w:after="60" w:line="276" w:lineRule="auto"/>
              <w:jc w:val="left"/>
            </w:pPr>
            <w:r>
              <w:rPr>
                <w:rFonts w:ascii="Times New Roman" w:hAnsi="Times New Roman"/>
                <w:color w:val="1E293B"/>
                <w:sz w:val="18"/>
              </w:rPr>
              <w:t>GitHub Issues &amp; CI</w:t>
            </w:r>
          </w:p>
        </w:tc>
        <w:tc>
          <w:tcPr>
            <w:tcW w:type="dxa" w:w="2304"/>
            <w:shd w:fill="FFFFFF"/>
          </w:tcPr>
          <w:p>
            <w:pPr>
              <w:spacing w:before="60" w:after="60" w:line="276" w:lineRule="auto"/>
              <w:jc w:val="left"/>
            </w:pPr>
            <w:r>
              <w:rPr>
                <w:rFonts w:ascii="Times New Roman" w:hAnsi="Times New Roman"/>
                <w:color w:val="1E293B"/>
                <w:sz w:val="18"/>
              </w:rPr>
              <w:t>GitHub REST API &amp; Actions</w:t>
            </w:r>
          </w:p>
        </w:tc>
        <w:tc>
          <w:tcPr>
            <w:tcW w:type="dxa" w:w="3456"/>
            <w:shd w:fill="FFFFFF"/>
          </w:tcPr>
          <w:p>
            <w:pPr>
              <w:spacing w:before="60" w:after="60" w:line="276" w:lineRule="auto"/>
              <w:jc w:val="left"/>
            </w:pPr>
            <w:r>
              <w:rPr>
                <w:rFonts w:ascii="Times New Roman" w:hAnsi="Times New Roman"/>
                <w:color w:val="1E293B"/>
                <w:sz w:val="18"/>
              </w:rPr>
              <w:t>Automated Bug User Story minting and zero-touch smart commit closure.</w:t>
            </w:r>
          </w:p>
        </w:tc>
      </w:tr>
    </w:tbl>
    <w:p>
      <w:pPr>
        <w:spacing w:before="0" w:after="120"/>
      </w:pPr>
    </w:p>
    <w:p>
      <w:pPr>
        <w:keepNext/>
        <w:spacing w:before="320" w:after="120"/>
      </w:pPr>
      <w:r>
        <w:rPr>
          <w:rFonts w:ascii="Times New Roman" w:hAnsi="Times New Roman"/>
          <w:b/>
          <w:color w:val="0F172A"/>
          <w:sz w:val="31"/>
        </w:rPr>
        <w:t>2. Storefront Presentation &amp; Multi-Hub Logistics</w:t>
      </w:r>
    </w:p>
    <w:p>
      <w:pPr>
        <w:keepNext/>
        <w:spacing w:before="240" w:after="80"/>
      </w:pPr>
      <w:r>
        <w:rPr>
          <w:rFonts w:ascii="Times New Roman" w:hAnsi="Times New Roman"/>
          <w:b/>
          <w:color w:val="1E293B"/>
          <w:sz w:val="26"/>
        </w:rPr>
        <w:t>2.1 FlashMart E-Commerce Interface</w:t>
      </w:r>
    </w:p>
    <w:p>
      <w:pPr>
        <w:spacing w:line="300" w:lineRule="auto" w:after="100" w:before="0"/>
        <w:jc w:val="both"/>
      </w:pPr>
      <w:r>
        <w:rPr>
          <w:rFonts w:ascii="Times New Roman" w:hAnsi="Times New Roman"/>
          <w:i w:val="0"/>
          <w:color w:val="111827"/>
          <w:sz w:val="23"/>
        </w:rPr>
        <w:t>The consumer-facing presentation layer, FlashMart Tech, is engineered as a modern Single-Page Application (SPA) leveraging standard HTML5, CSS3 CSS variables, and vanilla JavaScript (ES6+). By eliminating external build tooling and heavy Node.js runtimes, the application achieves instantaneous browser rendering, sub-100ms DOM hydration, and minimal network payload transfer overhead. The interface is optimized for rapid catalog browsing and promotional flash deal checkouts. Figure 2 illustrates the FlashMart storefront user interface.</w:t>
      </w:r>
    </w:p>
    <w:p>
      <w:pPr>
        <w:keepNext/>
        <w:spacing w:before="160" w:after="40"/>
        <w:jc w:val="center"/>
      </w:pPr>
      <w:r>
        <w:drawing>
          <wp:inline xmlns:a="http://schemas.openxmlformats.org/drawingml/2006/main" xmlns:pic="http://schemas.openxmlformats.org/drawingml/2006/picture">
            <wp:extent cx="5486400" cy="3840480"/>
            <wp:docPr id="2" name="Picture 2"/>
            <wp:cNvGraphicFramePr>
              <a:graphicFrameLocks noChangeAspect="1"/>
            </wp:cNvGraphicFramePr>
            <a:graphic>
              <a:graphicData uri="http://schemas.openxmlformats.org/drawingml/2006/picture">
                <pic:pic>
                  <pic:nvPicPr>
                    <pic:cNvPr id="0" name="snapshot1_storefront.png"/>
                    <pic:cNvPicPr/>
                  </pic:nvPicPr>
                  <pic:blipFill>
                    <a:blip r:embed="rId12"/>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2: FlashMart Customer Storefront &amp; VIT Vellore Delivery Hub Selection Interface</w:t>
      </w:r>
    </w:p>
    <w:p>
      <w:pPr>
        <w:keepNext/>
        <w:spacing w:before="240" w:after="80"/>
      </w:pPr>
      <w:r>
        <w:rPr>
          <w:rFonts w:ascii="Times New Roman" w:hAnsi="Times New Roman"/>
          <w:b/>
          <w:color w:val="1E293B"/>
          <w:sz w:val="26"/>
        </w:rPr>
        <w:t>2.2 VIT Vellore Campus Dark Store Routing</w:t>
      </w:r>
    </w:p>
    <w:p>
      <w:pPr>
        <w:spacing w:line="300" w:lineRule="auto" w:after="100" w:before="0"/>
        <w:jc w:val="both"/>
      </w:pPr>
      <w:r>
        <w:rPr>
          <w:rFonts w:ascii="Times New Roman" w:hAnsi="Times New Roman"/>
          <w:i w:val="0"/>
          <w:color w:val="111827"/>
          <w:sz w:val="23"/>
        </w:rPr>
        <w:t>A foundational feature of FlashMart Tech is its localized delivery hub routing engine. Built specifically to model campus micro-fulfillment, the application defaults to the VIT Vellore Campus hub (Men's Hostel Q-Block Dark Store, Katpadi). When an order is placed, the frontend serializes the selected delivery hub string along with the product identifier into a structured JSON payload: {product_id: 3, delivery_hub: 'VIT Vellore Campus (Men\'s Hostel Q-Block)'}. The backend microservice evaluates localized dark store inventory specifically for the selected fulfillment node, demonstrating geographic warehouse isolation.</w:t>
      </w:r>
    </w:p>
    <w:p>
      <w:pPr>
        <w:keepNext/>
        <w:spacing w:before="240" w:after="80"/>
      </w:pPr>
      <w:r>
        <w:rPr>
          <w:rFonts w:ascii="Times New Roman" w:hAnsi="Times New Roman"/>
          <w:b/>
          <w:color w:val="1E293B"/>
          <w:sz w:val="26"/>
        </w:rPr>
        <w:t>2.3 Promotional Flash Sale Concurrency Engine</w:t>
      </w:r>
    </w:p>
    <w:p>
      <w:pPr>
        <w:spacing w:line="300" w:lineRule="auto" w:after="100" w:before="0"/>
        <w:jc w:val="both"/>
      </w:pPr>
      <w:r>
        <w:rPr>
          <w:rFonts w:ascii="Times New Roman" w:hAnsi="Times New Roman"/>
          <w:i w:val="0"/>
          <w:color w:val="111827"/>
          <w:sz w:val="23"/>
        </w:rPr>
        <w:t>To stress-test microservice reliability, FlashMart incorporates a promotional midnight flash deal engine. The catalog prominently displays the OnePlus 11R 5G (₹34,999) discounted flash deal accompanied by a real-time countdown timer (01:42:18 remaining). This promotional deal models viral customer demand, prompting multiple concurrent checkout submissions to test localized inventory depletion boundaries.</w:t>
      </w:r>
    </w:p>
    <w:p>
      <w:pPr>
        <w:keepNext/>
        <w:spacing w:before="320" w:after="120"/>
      </w:pPr>
      <w:r>
        <w:rPr>
          <w:rFonts w:ascii="Times New Roman" w:hAnsi="Times New Roman"/>
          <w:b/>
          <w:color w:val="0F172A"/>
          <w:sz w:val="31"/>
        </w:rPr>
        <w:t>3. The Runtime Incident: Zero-Stock Exhaustion &amp; Crash</w:t>
      </w:r>
    </w:p>
    <w:p>
      <w:pPr>
        <w:keepNext/>
        <w:spacing w:before="240" w:after="80"/>
      </w:pPr>
      <w:r>
        <w:rPr>
          <w:rFonts w:ascii="Times New Roman" w:hAnsi="Times New Roman"/>
          <w:b/>
          <w:color w:val="1E293B"/>
          <w:sz w:val="26"/>
        </w:rPr>
        <w:t>3.1 Fault Simulation Mechanics</w:t>
      </w:r>
    </w:p>
    <w:p>
      <w:pPr>
        <w:spacing w:line="300" w:lineRule="auto" w:after="100" w:before="0"/>
        <w:jc w:val="both"/>
      </w:pPr>
      <w:r>
        <w:rPr>
          <w:rFonts w:ascii="Times New Roman" w:hAnsi="Times New Roman"/>
          <w:i w:val="0"/>
          <w:color w:val="111827"/>
          <w:sz w:val="23"/>
        </w:rPr>
        <w:t>The simulated fault models an authentic quick-commerce edge-case: sudden inventory exhaustion. During the promotional flash sale, dark store stock for the OnePlus 11R 5G drops to stock = 0. In an unhardened microservice, checkout calculations attempt to compute allocation ratios or discount percentages using raw stock values without boundary checking.</w:t>
      </w:r>
    </w:p>
    <w:p>
      <w:pPr>
        <w:keepNext/>
        <w:spacing w:before="240" w:after="80"/>
      </w:pPr>
      <w:r>
        <w:rPr>
          <w:rFonts w:ascii="Times New Roman" w:hAnsi="Times New Roman"/>
          <w:b/>
          <w:color w:val="1E293B"/>
          <w:sz w:val="26"/>
        </w:rPr>
        <w:t>3.2 Mathematical Division-by-Zero Exception</w:t>
      </w:r>
    </w:p>
    <w:p>
      <w:pPr>
        <w:spacing w:line="300" w:lineRule="auto" w:after="100" w:before="0"/>
        <w:jc w:val="both"/>
      </w:pPr>
      <w:r>
        <w:rPr>
          <w:rFonts w:ascii="Times New Roman" w:hAnsi="Times New Roman"/>
          <w:i w:val="0"/>
          <w:color w:val="111827"/>
          <w:sz w:val="23"/>
        </w:rPr>
        <w:t>In app/app.py, the order processing worker thread executes the allocation calculation: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 app/app.py: Checkout Order Calculation Logic</w:t>
              <w:br/>
              <w:t>product = get_product(product_id)</w:t>
              <w:br/>
              <w:t># Unhardened mathematical operation:</w:t>
              <w:br/>
              <w:t>allocation = 100 / product['stock']  # When stock == 0, raises ZeroDivisionError!</w:t>
            </w:r>
          </w:p>
        </w:tc>
      </w:tr>
    </w:tbl>
    <w:p>
      <w:pPr>
        <w:spacing w:before="0" w:after="80"/>
      </w:pPr>
    </w:p>
    <w:p>
      <w:pPr>
        <w:spacing w:line="300" w:lineRule="auto" w:after="100" w:before="0"/>
        <w:jc w:val="both"/>
      </w:pPr>
      <w:r>
        <w:rPr>
          <w:rFonts w:ascii="Times New Roman" w:hAnsi="Times New Roman"/>
          <w:i w:val="0"/>
          <w:color w:val="111827"/>
          <w:sz w:val="23"/>
        </w:rPr>
        <w:t>Because product['stock'] equals 0, Python's runtime immediately throws an unhandled ZeroDivisionError: division by zero. Crucially, because no exception handler wraps this arithmetic operation, the unhandled exception crashes the active WSGI worker thread and aborts execution, returning an HTTP 500 Internal Server Error status code to the caller. Figure 3 illustrates the raw server terminal output captured during fault reproduction.</w:t>
      </w:r>
    </w:p>
    <w:p>
      <w:pPr>
        <w:keepNext/>
        <w:spacing w:before="160" w:after="40"/>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snapshot3_server_crash.png"/>
                    <pic:cNvPicPr/>
                  </pic:nvPicPr>
                  <pic:blipFill>
                    <a:blip r:embed="rId13"/>
                    <a:stretch>
                      <a:fillRect/>
                    </a:stretch>
                  </pic:blipFill>
                  <pic:spPr>
                    <a:xfrm>
                      <a:off x="0" y="0"/>
                      <a:ext cx="5486400" cy="3657600"/>
                    </a:xfrm>
                    <a:prstGeom prst="rect"/>
                  </pic:spPr>
                </pic:pic>
              </a:graphicData>
            </a:graphic>
          </wp:inline>
        </w:drawing>
      </w:r>
    </w:p>
    <w:p>
      <w:pPr>
        <w:keepNext w:val="0"/>
        <w:spacing w:before="40" w:after="200"/>
        <w:jc w:val="center"/>
      </w:pPr>
      <w:r>
        <w:rPr>
          <w:rFonts w:ascii="Times New Roman" w:hAnsi="Times New Roman"/>
          <w:b/>
          <w:i/>
          <w:color w:val="0F172A"/>
          <w:sz w:val="20"/>
        </w:rPr>
        <w:t>Figure 3: Backend Server ZeroDivisionError Crash Terminal Output &amp; Structured Telemetry</w:t>
      </w:r>
    </w:p>
    <w:p>
      <w:pPr>
        <w:keepNext/>
        <w:spacing w:before="240" w:after="80"/>
      </w:pPr>
      <w:r>
        <w:rPr>
          <w:rFonts w:ascii="Times New Roman" w:hAnsi="Times New Roman"/>
          <w:b/>
          <w:color w:val="1E293B"/>
          <w:sz w:val="26"/>
        </w:rPr>
        <w:t>3.3 WSGI Worker Thread Crash &amp; [CRITICAL_ALERT] Logging</w:t>
      </w:r>
    </w:p>
    <w:p>
      <w:pPr>
        <w:spacing w:line="300" w:lineRule="auto" w:after="100" w:before="0"/>
        <w:jc w:val="both"/>
      </w:pPr>
      <w:r>
        <w:rPr>
          <w:rFonts w:ascii="Times New Roman" w:hAnsi="Times New Roman"/>
          <w:i w:val="0"/>
          <w:color w:val="111827"/>
          <w:sz w:val="23"/>
        </w:rPr>
        <w:t>Prior to thread termination, the microservice application logger intercepts the unhandled crash context. It serializes the exception event and emits a structured telemetry string to standard output (stdout):</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[CRITICAL] [CRITICAL_ALERT] Incident simulation triggered! Item 'OnePlus 11R 5G' has stock=0 for address 'VIT Vellore Campus'</w:t>
              <w:br/>
              <w:t>[ERROR] [EXCEPTION] Unhandled ZeroDivisionError in delivery routing allocation worker</w:t>
              <w:br/>
              <w:t>Traceback (most recent call last):</w:t>
              <w:br/>
              <w:t xml:space="preserve">  File "app/app.py", line 119, in checkout</w:t>
              <w:br/>
              <w:t xml:space="preserve">    _ = 100 / product["stock"]  # Crashes with HTTP 500 ZeroDivisionError!</w:t>
              <w:br/>
              <w:t>ZeroDivisionError: division by zero</w:t>
            </w:r>
          </w:p>
        </w:tc>
      </w:tr>
    </w:tbl>
    <w:p>
      <w:pPr>
        <w:spacing w:before="0" w:after="80"/>
      </w:pPr>
    </w:p>
    <w:p>
      <w:pPr>
        <w:keepNext/>
        <w:spacing w:before="320" w:after="120"/>
      </w:pPr>
      <w:r>
        <w:rPr>
          <w:rFonts w:ascii="Times New Roman" w:hAnsi="Times New Roman"/>
          <w:b/>
          <w:color w:val="0F172A"/>
          <w:sz w:val="31"/>
        </w:rPr>
        <w:t>4. Defensive Presentation Engineering: Customer Insulation</w:t>
      </w:r>
    </w:p>
    <w:p>
      <w:pPr>
        <w:keepNext/>
        <w:spacing w:before="240" w:after="80"/>
      </w:pPr>
      <w:r>
        <w:rPr>
          <w:rFonts w:ascii="Times New Roman" w:hAnsi="Times New Roman"/>
          <w:b/>
          <w:color w:val="1E293B"/>
          <w:sz w:val="26"/>
        </w:rPr>
        <w:t>4.1 Client-Side HTTP 500 Interception</w:t>
      </w:r>
    </w:p>
    <w:p>
      <w:pPr>
        <w:spacing w:line="300" w:lineRule="auto" w:after="100" w:before="0"/>
        <w:jc w:val="both"/>
      </w:pPr>
      <w:r>
        <w:rPr>
          <w:rFonts w:ascii="Times New Roman" w:hAnsi="Times New Roman"/>
          <w:i w:val="0"/>
          <w:color w:val="111827"/>
          <w:sz w:val="23"/>
        </w:rPr>
        <w:t>In conventional, fragile web applications, an unhandled HTTP 500 response produces an unstyled, alarming browser error screen or raw JSON traceback dump. Such catastrophic failures destroy consumer trust and immediately induce shopping cart abandonment.</w:t>
      </w:r>
    </w:p>
    <w:p>
      <w:pPr>
        <w:spacing w:line="300" w:lineRule="auto" w:after="100" w:before="0"/>
        <w:jc w:val="both"/>
      </w:pPr>
      <w:r>
        <w:rPr>
          <w:rFonts w:ascii="Times New Roman" w:hAnsi="Times New Roman"/>
          <w:i w:val="0"/>
          <w:color w:val="111827"/>
          <w:sz w:val="23"/>
        </w:rPr>
        <w:t>FlashMart Tech enforces a strict Site Reliability Engineering client-insulation invariant: internal server errors must never reach the customer interface. The client Single-Page Application intercepts non-200 HTTP response codes before browser rendering. When the checkout worker returns HTTP 500 due to stock depletion, the client gracefully swallows the raw exception and opens an informative 'Item Not Deliverable to Your Location' waitlist drawer. Figure 4 illustrates this customer insulation mechanism.</w:t>
      </w:r>
    </w:p>
    <w:p>
      <w:pPr>
        <w:keepNext/>
        <w:spacing w:before="160" w:after="4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snapshot2_stockout_drawer.png"/>
                    <pic:cNvPicPr/>
                  </pic:nvPicPr>
                  <pic:blipFill>
                    <a:blip r:embed="rId14"/>
                    <a:stretch>
                      <a:fillRect/>
                    </a:stretch>
                  </pic:blipFill>
                  <pic:spPr>
                    <a:xfrm>
                      <a:off x="0" y="0"/>
                      <a:ext cx="5486400" cy="3657600"/>
                    </a:xfrm>
                    <a:prstGeom prst="rect"/>
                  </pic:spPr>
                </pic:pic>
              </a:graphicData>
            </a:graphic>
          </wp:inline>
        </w:drawing>
      </w:r>
    </w:p>
    <w:p>
      <w:pPr>
        <w:keepNext w:val="0"/>
        <w:spacing w:before="40" w:after="200"/>
        <w:jc w:val="center"/>
      </w:pPr>
      <w:r>
        <w:rPr>
          <w:rFonts w:ascii="Times New Roman" w:hAnsi="Times New Roman"/>
          <w:b/>
          <w:i/>
          <w:color w:val="0F172A"/>
          <w:sz w:val="20"/>
        </w:rPr>
        <w:t>Figure 4: Graceful Frontend Stockout Exception Interception and Customer Insulation</w:t>
      </w:r>
    </w:p>
    <w:p>
      <w:pPr>
        <w:keepNext/>
        <w:spacing w:before="240" w:after="80"/>
      </w:pPr>
      <w:r>
        <w:rPr>
          <w:rFonts w:ascii="Times New Roman" w:hAnsi="Times New Roman"/>
          <w:b/>
          <w:color w:val="1E293B"/>
          <w:sz w:val="26"/>
        </w:rPr>
        <w:t>4.2 Informative Stockout Waitlist Modal</w:t>
      </w:r>
    </w:p>
    <w:p>
      <w:pPr>
        <w:spacing w:line="300" w:lineRule="auto" w:after="100" w:before="0"/>
        <w:jc w:val="both"/>
      </w:pPr>
      <w:r>
        <w:rPr>
          <w:rFonts w:ascii="Times New Roman" w:hAnsi="Times New Roman"/>
          <w:i w:val="0"/>
          <w:color w:val="111827"/>
          <w:sz w:val="23"/>
        </w:rPr>
        <w:t>The modal provides complete operational transparency without alarming the user. It explicitly informs the customer: 'We're sorry! OnePlus 11R 5G is currently out of stock at your nearest dark store fulfillment center (VIT Vellore Campus - Men's Hostel Q-Block)'. It presents two prominent call-to-action buttons: a high-contrast 'Notify Me When Available at This Address' button that registers the user for replenishment waitlists, and an alternate delivery hub selector allowing the customer to reroute delivery to Katpadi or Vellore Town hubs.</w:t>
      </w:r>
    </w:p>
    <w:p>
      <w:pPr>
        <w:keepNext/>
        <w:spacing w:before="240" w:after="80"/>
      </w:pPr>
      <w:r>
        <w:rPr>
          <w:rFonts w:ascii="Times New Roman" w:hAnsi="Times New Roman"/>
          <w:b/>
          <w:color w:val="1E293B"/>
          <w:sz w:val="26"/>
        </w:rPr>
        <w:t>4.3 Customer Trust and Brand Equity Protection</w:t>
      </w:r>
    </w:p>
    <w:p>
      <w:pPr>
        <w:spacing w:line="300" w:lineRule="auto" w:after="100" w:before="0"/>
        <w:jc w:val="both"/>
      </w:pPr>
      <w:r>
        <w:rPr>
          <w:rFonts w:ascii="Times New Roman" w:hAnsi="Times New Roman"/>
          <w:i w:val="0"/>
          <w:color w:val="111827"/>
          <w:sz w:val="23"/>
        </w:rPr>
        <w:t>By insulating customers from raw backend failures, FlashMart preserves brand equity and maintains conversion opportunities even during localized stockouts. The customer perceives a polite stockout notice rather than a broken, malfunctioning system.</w:t>
      </w:r>
    </w:p>
    <w:p>
      <w:pPr>
        <w:keepNext/>
        <w:spacing w:before="320" w:after="120"/>
      </w:pPr>
      <w:r>
        <w:rPr>
          <w:rFonts w:ascii="Times New Roman" w:hAnsi="Times New Roman"/>
          <w:b/>
          <w:color w:val="0F172A"/>
          <w:sz w:val="31"/>
        </w:rPr>
        <w:t>5. SRE Observability: Sub-5-Second Metric Ingestion</w:t>
      </w:r>
    </w:p>
    <w:p>
      <w:pPr>
        <w:keepNext/>
        <w:spacing w:before="240" w:after="80"/>
      </w:pPr>
      <w:r>
        <w:rPr>
          <w:rFonts w:ascii="Times New Roman" w:hAnsi="Times New Roman"/>
          <w:b/>
          <w:color w:val="1E293B"/>
          <w:sz w:val="26"/>
        </w:rPr>
        <w:t>5.1 Event-Driven CloudWatch Log Filtering</w:t>
      </w:r>
    </w:p>
    <w:p>
      <w:pPr>
        <w:spacing w:line="300" w:lineRule="auto" w:after="100" w:before="0"/>
        <w:jc w:val="both"/>
      </w:pPr>
      <w:r>
        <w:rPr>
          <w:rFonts w:ascii="Times New Roman" w:hAnsi="Times New Roman"/>
          <w:i w:val="0"/>
          <w:color w:val="111827"/>
          <w:sz w:val="23"/>
        </w:rPr>
        <w:t>Traditional cloud monitoring architectures rely on periodic log scraping daemons or metric polling jobs that introduce 2 to 15 minutes of detection delay. In quick-commerce operations, 15 minutes of downtime during a flash sale results in massive revenue loss before support teams are notified.</w:t>
      </w:r>
    </w:p>
    <w:p>
      <w:pPr>
        <w:spacing w:line="300" w:lineRule="auto" w:after="100" w:before="0"/>
        <w:jc w:val="both"/>
      </w:pPr>
      <w:r>
        <w:rPr>
          <w:rFonts w:ascii="Times New Roman" w:hAnsi="Times New Roman"/>
          <w:i w:val="0"/>
          <w:color w:val="111827"/>
          <w:sz w:val="23"/>
        </w:rPr>
        <w:t>DevOps Incident Watchdog implements event-driven, push-based telemetry ingestion. An Amazon CloudWatch Metric Filter continuously monitors the /aws/lambda/watchdog-target-app log group, matching stdout statements containing the exact pattern [CRITICAL_ALERT]. Upon pattern detection, CloudWatch increments an active incident metric and asynchronously invokes the Watchdog Lambda triage orchestrator within 4.2 seconds of log emission.</w:t>
      </w:r>
    </w:p>
    <w:p>
      <w:pPr>
        <w:keepNext/>
        <w:spacing w:before="240" w:after="80"/>
      </w:pPr>
      <w:r>
        <w:rPr>
          <w:rFonts w:ascii="Times New Roman" w:hAnsi="Times New Roman"/>
          <w:b/>
          <w:color w:val="1E293B"/>
          <w:sz w:val="26"/>
        </w:rPr>
        <w:t>5.2 Operator SRE Backstage Dashboard</w:t>
      </w:r>
    </w:p>
    <w:p>
      <w:pPr>
        <w:spacing w:line="300" w:lineRule="auto" w:after="100" w:before="0"/>
        <w:jc w:val="both"/>
      </w:pPr>
      <w:r>
        <w:rPr>
          <w:rFonts w:ascii="Times New Roman" w:hAnsi="Times New Roman"/>
          <w:i w:val="0"/>
          <w:color w:val="111827"/>
          <w:sz w:val="23"/>
        </w:rPr>
        <w:t>To provide operational visibility, the platform includes an SRE Backstage Control Center. The dashboard displays real-time AWS CloudWatch metric filter states, active Lambda function health (200 OK), S3 forensic bucket storage links, and live Agile backlog sync statuses. Figure 5 illustrates the SRE Backstage dashboard.</w:t>
      </w:r>
    </w:p>
    <w:p>
      <w:pPr>
        <w:keepNext/>
        <w:spacing w:before="16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snapshot4_sre_dashboard.png"/>
                    <pic:cNvPicPr/>
                  </pic:nvPicPr>
                  <pic:blipFill>
                    <a:blip r:embed="rId15"/>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5: AWS CloudWatch Metric Filter &amp; SRE Telemetry Backstage Dashboard</w:t>
      </w:r>
    </w:p>
    <w:p>
      <w:pPr>
        <w:keepNext/>
        <w:spacing w:before="240" w:after="80"/>
      </w:pPr>
      <w:r>
        <w:rPr>
          <w:rFonts w:ascii="Times New Roman" w:hAnsi="Times New Roman"/>
          <w:b/>
          <w:color w:val="1E293B"/>
          <w:sz w:val="26"/>
        </w:rPr>
        <w:t>5.3 Zero-Polling Telemetry Architecture</w:t>
      </w:r>
    </w:p>
    <w:p>
      <w:pPr>
        <w:spacing w:line="300" w:lineRule="auto" w:after="100" w:before="0"/>
        <w:jc w:val="both"/>
      </w:pPr>
      <w:r>
        <w:rPr>
          <w:rFonts w:ascii="Times New Roman" w:hAnsi="Times New Roman"/>
          <w:i w:val="0"/>
          <w:color w:val="111827"/>
          <w:sz w:val="23"/>
        </w:rPr>
        <w:t>Because the telemetry pipeline leverages native CloudWatch Log Subscriptions rather than polling daemons, the monitoring infrastructure incurs zero idle CPU overhead and zero network polling bandwidth costs.</w:t>
      </w:r>
    </w:p>
    <w:p>
      <w:pPr>
        <w:keepNext/>
        <w:spacing w:before="320" w:after="120"/>
      </w:pPr>
      <w:r>
        <w:rPr>
          <w:rFonts w:ascii="Times New Roman" w:hAnsi="Times New Roman"/>
          <w:b/>
          <w:color w:val="0F172A"/>
          <w:sz w:val="31"/>
        </w:rPr>
        <w:t>6. Cloud Forensics: Immutable S3 Vault Archival</w:t>
      </w:r>
    </w:p>
    <w:p>
      <w:pPr>
        <w:keepNext/>
        <w:spacing w:before="240" w:after="80"/>
      </w:pPr>
      <w:r>
        <w:rPr>
          <w:rFonts w:ascii="Times New Roman" w:hAnsi="Times New Roman"/>
          <w:b/>
          <w:color w:val="1E293B"/>
          <w:sz w:val="26"/>
        </w:rPr>
        <w:t>6.1 Cryptographic Incident ID Minting</w:t>
      </w:r>
    </w:p>
    <w:p>
      <w:pPr>
        <w:spacing w:line="300" w:lineRule="auto" w:after="100" w:before="0"/>
        <w:jc w:val="both"/>
      </w:pPr>
      <w:r>
        <w:rPr>
          <w:rFonts w:ascii="Times New Roman" w:hAnsi="Times New Roman"/>
          <w:i w:val="0"/>
          <w:color w:val="111827"/>
          <w:sz w:val="23"/>
        </w:rPr>
        <w:t>Upon invocation, the Watchdog Lambda decompress the incoming base64 gzipped log payload in memory. It parses the log events and mints a unique cryptographic incident identifier combining the Unix timestamp with an MD5 hash: INC-1791945923-07CD12B5. This incident ID serves as the immutable primary key across all cloud logs, forensic dumps, and GitHub Agile tickets.</w:t>
      </w:r>
    </w:p>
    <w:p>
      <w:pPr>
        <w:keepNext/>
        <w:spacing w:before="240" w:after="80"/>
      </w:pPr>
      <w:r>
        <w:rPr>
          <w:rFonts w:ascii="Times New Roman" w:hAnsi="Times New Roman"/>
          <w:b/>
          <w:color w:val="1E293B"/>
          <w:sz w:val="26"/>
        </w:rPr>
        <w:t>6.2 Private Amazon S3 Storage &amp; 11 9's Durability</w:t>
      </w:r>
    </w:p>
    <w:p>
      <w:pPr>
        <w:spacing w:line="300" w:lineRule="auto" w:after="100" w:before="0"/>
        <w:jc w:val="both"/>
      </w:pPr>
      <w:r>
        <w:rPr>
          <w:rFonts w:ascii="Times New Roman" w:hAnsi="Times New Roman"/>
          <w:i w:val="0"/>
          <w:color w:val="111827"/>
          <w:sz w:val="23"/>
        </w:rPr>
        <w:t>To satisfy compliance audit requirements and guarantee permanent post-mortem forensic completeness, the Watchdog Lambda packages the full crash traceback, HTTP request headers, active git commit SHA, and dark store hub identifier into a structured JSON evidence document. It uploads this dump to a private Amazon S3 bucket (devops-incident-watchdog-logs-401537512022) with 11 9's durability (99.999999999%) and AES-256 server-side encryption. Figure 6 displays the archived forensic evidence in the Amazon S3 Management Console.</w:t>
      </w:r>
    </w:p>
    <w:p>
      <w:pPr>
        <w:keepNext/>
        <w:spacing w:before="160" w:after="40"/>
        <w:jc w:val="center"/>
      </w:pPr>
      <w:r>
        <w:drawing>
          <wp:inline xmlns:a="http://schemas.openxmlformats.org/drawingml/2006/main" xmlns:pic="http://schemas.openxmlformats.org/drawingml/2006/picture">
            <wp:extent cx="5486400" cy="3840480"/>
            <wp:docPr id="6" name="Picture 6"/>
            <wp:cNvGraphicFramePr>
              <a:graphicFrameLocks noChangeAspect="1"/>
            </wp:cNvGraphicFramePr>
            <a:graphic>
              <a:graphicData uri="http://schemas.openxmlformats.org/drawingml/2006/picture">
                <pic:pic>
                  <pic:nvPicPr>
                    <pic:cNvPr id="0" name="snapshot5_s3_vault.png"/>
                    <pic:cNvPicPr/>
                  </pic:nvPicPr>
                  <pic:blipFill>
                    <a:blip r:embed="rId16"/>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6: Immutable Incident Forensic Evidence Archived in Amazon S3 Bucket Vault</w:t>
      </w:r>
    </w:p>
    <w:p>
      <w:pPr>
        <w:keepNext/>
        <w:spacing w:before="240" w:after="80"/>
      </w:pPr>
      <w:r>
        <w:rPr>
          <w:rFonts w:ascii="Times New Roman" w:hAnsi="Times New Roman"/>
          <w:b/>
          <w:color w:val="1E293B"/>
          <w:sz w:val="26"/>
        </w:rPr>
        <w:t>6.3 Structured Forensic JSON Payload Specification</w:t>
      </w:r>
    </w:p>
    <w:p>
      <w:pPr>
        <w:spacing w:line="300" w:lineRule="auto" w:after="100" w:before="0"/>
        <w:jc w:val="both"/>
      </w:pPr>
      <w:r>
        <w:rPr>
          <w:rFonts w:ascii="Times New Roman" w:hAnsi="Times New Roman"/>
          <w:i w:val="0"/>
          <w:color w:val="111827"/>
          <w:sz w:val="23"/>
        </w:rPr>
        <w:t>The archived JSON forensic dump contains complete diagnostic context for post-mortem investigations:</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w:t>
              <w:br/>
              <w:t xml:space="preserve">  "incident_id": "INC-1791945923-07CD12B5",</w:t>
              <w:br/>
              <w:t xml:space="preserve">  "timestamp": "2026-10-18T21:28:44Z",</w:t>
              <w:br/>
              <w:t xml:space="preserve">  "error_type": "ZeroDivisionError",</w:t>
              <w:br/>
              <w:t xml:space="preserve">  "error_message": "division by zero in checkout logic",</w:t>
              <w:br/>
              <w:t xml:space="preserve">  "target_service": "watchdog-target-app (FlashMart Promotional Sale)",</w:t>
              <w:br/>
              <w:t xml:space="preserve">  "fulfillment_location": "VIT Vellore Campus (Men's Hostel Q-Block)",</w:t>
              <w:br/>
              <w:t xml:space="preserve">  "forensic_s3_uri": "s3://devops-incident-watchdog-logs-401537512022/incidents/INC-1791945923.json",</w:t>
              <w:br/>
              <w:t xml:space="preserve">  "git_commit_sha": "369f0b8..."</w:t>
              <w:br/>
              <w:t>}</w:t>
            </w:r>
          </w:p>
        </w:tc>
      </w:tr>
    </w:tbl>
    <w:p>
      <w:pPr>
        <w:spacing w:before="0" w:after="80"/>
      </w:pPr>
    </w:p>
    <w:p>
      <w:pPr>
        <w:keepNext/>
        <w:spacing w:before="320" w:after="120"/>
      </w:pPr>
      <w:r>
        <w:rPr>
          <w:rFonts w:ascii="Times New Roman" w:hAnsi="Times New Roman"/>
          <w:b/>
          <w:color w:val="0F172A"/>
          <w:sz w:val="31"/>
        </w:rPr>
        <w:t>7. Agile Backlog Automation: GitHub Issue Minting</w:t>
      </w:r>
    </w:p>
    <w:p>
      <w:pPr>
        <w:keepNext/>
        <w:spacing w:before="240" w:after="80"/>
      </w:pPr>
      <w:r>
        <w:rPr>
          <w:rFonts w:ascii="Times New Roman" w:hAnsi="Times New Roman"/>
          <w:b/>
          <w:color w:val="1E293B"/>
          <w:sz w:val="26"/>
        </w:rPr>
        <w:t>7.1 REST API v3 Automated Ticket Creation</w:t>
      </w:r>
    </w:p>
    <w:p>
      <w:pPr>
        <w:spacing w:line="300" w:lineRule="auto" w:after="100" w:before="0"/>
        <w:jc w:val="both"/>
      </w:pPr>
      <w:r>
        <w:rPr>
          <w:rFonts w:ascii="Times New Roman" w:hAnsi="Times New Roman"/>
          <w:i w:val="0"/>
          <w:color w:val="111827"/>
          <w:sz w:val="23"/>
        </w:rPr>
        <w:t>Rather than requiring human engineers to manually transcribe crash logs into sprint issue trackers, the Watchdog Lambda dispatches an authenticated HTTP POST request to the GitHub Issues REST API v3 (/repos/hemalexe/devopss-incident-watchdog/issues). The automated ticket is minted on the active sprint board within 24 seconds of the initial crash event. Figure 7 illustrates the minted Agile Bug User Story.</w:t>
      </w:r>
    </w:p>
    <w:p>
      <w:pPr>
        <w:keepNext/>
        <w:spacing w:before="160" w:after="40"/>
        <w:jc w:val="center"/>
      </w:pPr>
      <w:r>
        <w:drawing>
          <wp:inline xmlns:a="http://schemas.openxmlformats.org/drawingml/2006/main" xmlns:pic="http://schemas.openxmlformats.org/drawingml/2006/picture">
            <wp:extent cx="5486400" cy="3840480"/>
            <wp:docPr id="7" name="Picture 7"/>
            <wp:cNvGraphicFramePr>
              <a:graphicFrameLocks noChangeAspect="1"/>
            </wp:cNvGraphicFramePr>
            <a:graphic>
              <a:graphicData uri="http://schemas.openxmlformats.org/drawingml/2006/picture">
                <pic:pic>
                  <pic:nvPicPr>
                    <pic:cNvPr id="0" name="snapshot6_github_issue.png"/>
                    <pic:cNvPicPr/>
                  </pic:nvPicPr>
                  <pic:blipFill>
                    <a:blip r:embed="rId17"/>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7: Automated Agile Bug User Story Minted on GitHub Issues with Definition of Done</w:t>
      </w:r>
    </w:p>
    <w:p>
      <w:pPr>
        <w:keepNext/>
        <w:spacing w:before="240" w:after="80"/>
      </w:pPr>
      <w:r>
        <w:rPr>
          <w:rFonts w:ascii="Times New Roman" w:hAnsi="Times New Roman"/>
          <w:b/>
          <w:color w:val="1E293B"/>
          <w:sz w:val="26"/>
        </w:rPr>
        <w:t>7.2 Standardized Diagnostics Table &amp; Priority Labels</w:t>
      </w:r>
    </w:p>
    <w:p>
      <w:pPr>
        <w:spacing w:line="300" w:lineRule="auto" w:after="100" w:before="0"/>
        <w:jc w:val="both"/>
      </w:pPr>
      <w:r>
        <w:rPr>
          <w:rFonts w:ascii="Times New Roman" w:hAnsi="Times New Roman"/>
          <w:i w:val="0"/>
          <w:color w:val="111827"/>
          <w:sz w:val="23"/>
        </w:rPr>
        <w:t>The minted ticket embeds standardized Agile metadata: priority labels (incident, p1-critical, auto-generated), an Agile User Story narrative ('As an Agile SRE Team Member, I need to investigate and resolve the unhandled ZeroDivisionError...'), and a formatted diagnostics table mapping the incident ID, error type, target microservice, campus fulfillment hub, and direct Amazon S3 forensic URI.</w:t>
      </w:r>
    </w:p>
    <w:p>
      <w:pPr>
        <w:keepNext/>
        <w:spacing w:before="240" w:after="80"/>
      </w:pPr>
      <w:r>
        <w:rPr>
          <w:rFonts w:ascii="Times New Roman" w:hAnsi="Times New Roman"/>
          <w:b/>
          <w:color w:val="1E293B"/>
          <w:sz w:val="26"/>
        </w:rPr>
        <w:t>7.3 Enforcing 6 Definition of Done (DoD) Criteria</w:t>
      </w:r>
    </w:p>
    <w:p>
      <w:pPr>
        <w:spacing w:line="300" w:lineRule="auto" w:after="100" w:before="0"/>
        <w:jc w:val="both"/>
      </w:pPr>
      <w:r>
        <w:rPr>
          <w:rFonts w:ascii="Times New Roman" w:hAnsi="Times New Roman"/>
          <w:i w:val="0"/>
          <w:color w:val="111827"/>
          <w:sz w:val="23"/>
        </w:rPr>
        <w:t>Crucially, the ticket enforces six explicit Definition of Done acceptance criteria checkboxes:</w:t>
      </w:r>
    </w:p>
    <w:p>
      <w:pPr>
        <w:pStyle w:val="ListBullet"/>
        <w:spacing w:line="288" w:lineRule="auto" w:after="60" w:before="0"/>
        <w:jc w:val="both"/>
      </w:pPr>
      <w:r>
        <w:rPr>
          <w:rFonts w:ascii="Times New Roman" w:hAnsi="Times New Roman"/>
          <w:b/>
          <w:color w:val="111827"/>
          <w:sz w:val="23"/>
        </w:rPr>
        <w:t xml:space="preserve">Criteria 1: </w:t>
      </w:r>
      <w:r>
        <w:rPr>
          <w:rFonts w:ascii="Times New Roman" w:hAnsi="Times New Roman"/>
          <w:color w:val="111827"/>
          <w:sz w:val="23"/>
        </w:rPr>
        <w:t>Implement defensive boundary check: if stock &lt;= 0 return HTTP 400 out_of_stock.</w:t>
      </w:r>
    </w:p>
    <w:p>
      <w:pPr>
        <w:pStyle w:val="ListBullet"/>
        <w:spacing w:line="288" w:lineRule="auto" w:after="60" w:before="0"/>
        <w:jc w:val="both"/>
      </w:pPr>
      <w:r>
        <w:rPr>
          <w:rFonts w:ascii="Times New Roman" w:hAnsi="Times New Roman"/>
          <w:b/>
          <w:color w:val="111827"/>
          <w:sz w:val="23"/>
        </w:rPr>
        <w:t xml:space="preserve">Criteria 2: </w:t>
      </w:r>
      <w:r>
        <w:rPr>
          <w:rFonts w:ascii="Times New Roman" w:hAnsi="Times New Roman"/>
          <w:color w:val="111827"/>
          <w:sz w:val="23"/>
        </w:rPr>
        <w:t>Preserve graceful frontend stockout waitlist modal and customer insulation.</w:t>
      </w:r>
    </w:p>
    <w:p>
      <w:pPr>
        <w:pStyle w:val="ListBullet"/>
        <w:spacing w:line="288" w:lineRule="auto" w:after="60" w:before="0"/>
        <w:jc w:val="both"/>
      </w:pPr>
      <w:r>
        <w:rPr>
          <w:rFonts w:ascii="Times New Roman" w:hAnsi="Times New Roman"/>
          <w:b/>
          <w:color w:val="111827"/>
          <w:sz w:val="23"/>
        </w:rPr>
        <w:t xml:space="preserve">Criteria 3: </w:t>
      </w:r>
      <w:r>
        <w:rPr>
          <w:rFonts w:ascii="Times New Roman" w:hAnsi="Times New Roman"/>
          <w:color w:val="111827"/>
          <w:sz w:val="23"/>
        </w:rPr>
        <w:t>Execute all 9 automated unit regression tests with 100% pass rate in CI runner.</w:t>
      </w:r>
    </w:p>
    <w:p>
      <w:pPr>
        <w:pStyle w:val="ListBullet"/>
        <w:spacing w:line="288" w:lineRule="auto" w:after="60" w:before="0"/>
        <w:jc w:val="both"/>
      </w:pPr>
      <w:r>
        <w:rPr>
          <w:rFonts w:ascii="Times New Roman" w:hAnsi="Times New Roman"/>
          <w:b/>
          <w:color w:val="111827"/>
          <w:sz w:val="23"/>
        </w:rPr>
        <w:t xml:space="preserve">Criteria 4: </w:t>
      </w:r>
      <w:r>
        <w:rPr>
          <w:rFonts w:ascii="Times New Roman" w:hAnsi="Times New Roman"/>
          <w:color w:val="111827"/>
          <w:sz w:val="23"/>
        </w:rPr>
        <w:t>Verify zero-touch closure of GitHub Issue #1 via Git Smart Commit (Fixes #1).</w:t>
      </w:r>
    </w:p>
    <w:p>
      <w:pPr>
        <w:keepNext/>
        <w:spacing w:before="320" w:after="120"/>
      </w:pPr>
      <w:r>
        <w:rPr>
          <w:rFonts w:ascii="Times New Roman" w:hAnsi="Times New Roman"/>
          <w:b/>
          <w:color w:val="0F172A"/>
          <w:sz w:val="31"/>
        </w:rPr>
        <w:t>8. Continuous Remediation: GitOps Smart Commit &amp; CI/CD</w:t>
      </w:r>
    </w:p>
    <w:p>
      <w:pPr>
        <w:keepNext/>
        <w:spacing w:before="240" w:after="80"/>
      </w:pPr>
      <w:r>
        <w:rPr>
          <w:rFonts w:ascii="Times New Roman" w:hAnsi="Times New Roman"/>
          <w:b/>
          <w:color w:val="1E293B"/>
          <w:sz w:val="26"/>
        </w:rPr>
        <w:t>8.1 Developer Defensive Code Fix Implementation</w:t>
      </w:r>
    </w:p>
    <w:p>
      <w:pPr>
        <w:spacing w:line="300" w:lineRule="auto" w:after="100" w:before="0"/>
        <w:jc w:val="both"/>
      </w:pPr>
      <w:r>
        <w:rPr>
          <w:rFonts w:ascii="Times New Roman" w:hAnsi="Times New Roman"/>
          <w:i w:val="0"/>
          <w:color w:val="111827"/>
          <w:sz w:val="23"/>
        </w:rPr>
        <w:t>When an engineer inspects GitHub Issue #1, the root cause is immediately clear. The developer modifies app/app.py to introduce the defensive inventory boundary check:</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 app/app.py: Defensive Code Remediation</w:t>
              <w:br/>
              <w:t>if product['stock'] &lt;= 0:</w:t>
              <w:br/>
              <w:t xml:space="preserve">    return jsonify({</w:t>
              <w:br/>
              <w:t xml:space="preserve">        'error': 'out_of_stock',</w:t>
              <w:br/>
              <w:t xml:space="preserve">        'message': f"Item '{product['name']}' is out of stock at {delivery_hub}.",</w:t>
              <w:br/>
              <w:t xml:space="preserve">        'waitlist_eligible': True</w:t>
              <w:br/>
              <w:t xml:space="preserve">    }), 400</w:t>
              <w:br/>
              <w:br/>
              <w:t>allocation = 100 / product['stock']</w:t>
            </w:r>
          </w:p>
        </w:tc>
      </w:tr>
    </w:tbl>
    <w:p>
      <w:pPr>
        <w:spacing w:before="0" w:after="80"/>
      </w:pPr>
    </w:p>
    <w:p>
      <w:pPr>
        <w:keepNext/>
        <w:spacing w:before="240" w:after="80"/>
      </w:pPr>
      <w:r>
        <w:rPr>
          <w:rFonts w:ascii="Times New Roman" w:hAnsi="Times New Roman"/>
          <w:b/>
          <w:color w:val="1E293B"/>
          <w:sz w:val="26"/>
        </w:rPr>
        <w:t>8.2 GitHub Actions Automated Pytest Regression Runner</w:t>
      </w:r>
    </w:p>
    <w:p>
      <w:pPr>
        <w:spacing w:line="300" w:lineRule="auto" w:after="100" w:before="0"/>
        <w:jc w:val="both"/>
      </w:pPr>
      <w:r>
        <w:rPr>
          <w:rFonts w:ascii="Times New Roman" w:hAnsi="Times New Roman"/>
          <w:i w:val="0"/>
          <w:color w:val="111827"/>
          <w:sz w:val="23"/>
        </w:rPr>
        <w:t>The engineer commits the code using Git Smart Commit syntax: git commit -am 'Fixes #1: Handled division by zero in checkout logic'. Pushing this commit immediately triggers the GitHub Actions continuous integration workflow (.github/workflows/ci-cd.yml). The pipeline executes nine comprehensive Pytest test suites on an Ubuntu 22.04 LTS runner in 0.53 seconds (100% test pass rate). Figure 8 illustrates the GitHub Actions CI/CD execution.</w:t>
      </w:r>
    </w:p>
    <w:p>
      <w:pPr>
        <w:keepNext/>
        <w:spacing w:before="160" w:after="40"/>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snapshot7_cicd_pipeline.png"/>
                    <pic:cNvPicPr/>
                  </pic:nvPicPr>
                  <pic:blipFill>
                    <a:blip r:embed="rId18"/>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8: GitHub Actions CI/CD Automated Pytest Regression Suite and Zero-Touch Closure</w:t>
      </w:r>
    </w:p>
    <w:p>
      <w:pPr>
        <w:keepNext/>
        <w:spacing w:before="240" w:after="80"/>
      </w:pPr>
      <w:r>
        <w:rPr>
          <w:rFonts w:ascii="Times New Roman" w:hAnsi="Times New Roman"/>
          <w:b/>
          <w:color w:val="1E293B"/>
          <w:sz w:val="26"/>
        </w:rPr>
        <w:t>8.3 Zero-Touch Sprint Backlog Closure via Smart Commits</w:t>
      </w:r>
    </w:p>
    <w:p>
      <w:pPr>
        <w:spacing w:line="300" w:lineRule="auto" w:after="100" w:before="0"/>
        <w:jc w:val="both"/>
      </w:pPr>
      <w:r>
        <w:rPr>
          <w:rFonts w:ascii="Times New Roman" w:hAnsi="Times New Roman"/>
          <w:i w:val="0"/>
          <w:color w:val="111827"/>
          <w:sz w:val="23"/>
        </w:rPr>
        <w:t>Upon successful test verification, the CI runner packages the updated microservice and redeploys the code to AWS Lambda. Because the commit message referenced Fixes #1, GitHub natively links the commit SHA to Issue #1 and automatically transitions the ticket from Open to Closed (Done) without human administrative bookkeeping.</w:t>
      </w:r>
    </w:p>
    <w:p>
      <w:pPr>
        <w:keepNext/>
        <w:spacing w:before="320" w:after="120"/>
      </w:pPr>
      <w:r>
        <w:rPr>
          <w:rFonts w:ascii="Times New Roman" w:hAnsi="Times New Roman"/>
          <w:b/>
          <w:color w:val="0F172A"/>
          <w:sz w:val="31"/>
        </w:rPr>
        <w:t>9. Security Architecture &amp; Serverless Cloud Topology</w:t>
      </w:r>
    </w:p>
    <w:p>
      <w:pPr>
        <w:keepNext/>
        <w:spacing w:before="240" w:after="80"/>
      </w:pPr>
      <w:r>
        <w:rPr>
          <w:rFonts w:ascii="Times New Roman" w:hAnsi="Times New Roman"/>
          <w:b/>
          <w:color w:val="1E293B"/>
          <w:sz w:val="26"/>
        </w:rPr>
        <w:t>9.1 Seven Closed-Loop Security Safety Gates</w:t>
      </w:r>
    </w:p>
    <w:p>
      <w:pPr>
        <w:spacing w:line="300" w:lineRule="auto" w:after="100" w:before="0"/>
        <w:jc w:val="both"/>
      </w:pPr>
      <w:r>
        <w:rPr>
          <w:rFonts w:ascii="Times New Roman" w:hAnsi="Times New Roman"/>
          <w:i w:val="0"/>
          <w:color w:val="111827"/>
          <w:sz w:val="23"/>
        </w:rPr>
        <w:t>The operational integrity of DevOps Incident Watchdog is enforced across seven distinct security safety gates governing read-only telemetry ingestion, serverless container sandboxing, S3 immutable storage, least-privilege IAM execution roles, ticket sanitization, mandatory pytest CI verification, and GitOps commit traceability. Figure 9 illustrates this closed-loop safety gate architecture.</w:t>
      </w:r>
    </w:p>
    <w:p>
      <w:pPr>
        <w:keepNext/>
        <w:spacing w:before="160" w:after="40"/>
        <w:jc w:val="center"/>
      </w:pPr>
      <w:r>
        <w:drawing>
          <wp:inline xmlns:a="http://schemas.openxmlformats.org/drawingml/2006/main" xmlns:pic="http://schemas.openxmlformats.org/drawingml/2006/picture">
            <wp:extent cx="5669280" cy="2031492"/>
            <wp:docPr id="9" name="Picture 9"/>
            <wp:cNvGraphicFramePr>
              <a:graphicFrameLocks noChangeAspect="1"/>
            </wp:cNvGraphicFramePr>
            <a:graphic>
              <a:graphicData uri="http://schemas.openxmlformats.org/drawingml/2006/picture">
                <pic:pic>
                  <pic:nvPicPr>
                    <pic:cNvPr id="0" name="figure3_safety_gates.png"/>
                    <pic:cNvPicPr/>
                  </pic:nvPicPr>
                  <pic:blipFill>
                    <a:blip r:embed="rId19"/>
                    <a:stretch>
                      <a:fillRect/>
                    </a:stretch>
                  </pic:blipFill>
                  <pic:spPr>
                    <a:xfrm>
                      <a:off x="0" y="0"/>
                      <a:ext cx="5669280" cy="2031492"/>
                    </a:xfrm>
                    <a:prstGeom prst="rect"/>
                  </pic:spPr>
                </pic:pic>
              </a:graphicData>
            </a:graphic>
          </wp:inline>
        </w:drawing>
      </w:r>
    </w:p>
    <w:p>
      <w:pPr>
        <w:keepNext w:val="0"/>
        <w:spacing w:before="40" w:after="200"/>
        <w:jc w:val="center"/>
      </w:pPr>
      <w:r>
        <w:rPr>
          <w:rFonts w:ascii="Times New Roman" w:hAnsi="Times New Roman"/>
          <w:b/>
          <w:i/>
          <w:color w:val="0F172A"/>
          <w:sz w:val="20"/>
        </w:rPr>
        <w:t>Figure 9: Closed-Loop Telemetry &amp; GitOps Security Safety Gate Architecture</w:t>
      </w:r>
    </w:p>
    <w:p>
      <w:pPr>
        <w:keepNext/>
        <w:spacing w:before="240" w:after="80"/>
      </w:pPr>
      <w:r>
        <w:rPr>
          <w:rFonts w:ascii="Times New Roman" w:hAnsi="Times New Roman"/>
          <w:b/>
          <w:color w:val="1E293B"/>
          <w:sz w:val="26"/>
        </w:rPr>
        <w:t>9.2 AWS Serverless Live Deployment Topology</w:t>
      </w:r>
    </w:p>
    <w:p>
      <w:pPr>
        <w:spacing w:line="300" w:lineRule="auto" w:after="100" w:before="0"/>
        <w:jc w:val="both"/>
      </w:pPr>
      <w:r>
        <w:rPr>
          <w:rFonts w:ascii="Times New Roman" w:hAnsi="Times New Roman"/>
          <w:i w:val="0"/>
          <w:color w:val="111827"/>
          <w:sz w:val="23"/>
        </w:rPr>
        <w:t>The platform is deployed live in the AWS Sydney region (ap-southeast-2) under AWS Account 401537512022. Both microservices execute as decoupled AWS Lambda functions configured with 128 MB RAM, providing sub-300ms cold starts and auto-scaling up to thousands of concurrent requests. Figure 10 illustrates the production AWS cloud topology.</w:t>
      </w:r>
    </w:p>
    <w:p>
      <w:pPr>
        <w:keepNext/>
        <w:spacing w:before="160" w:after="40"/>
        <w:jc w:val="center"/>
      </w:pPr>
      <w:r>
        <w:drawing>
          <wp:inline xmlns:a="http://schemas.openxmlformats.org/drawingml/2006/main" xmlns:pic="http://schemas.openxmlformats.org/drawingml/2006/picture">
            <wp:extent cx="5669280" cy="1795272"/>
            <wp:docPr id="10" name="Picture 10"/>
            <wp:cNvGraphicFramePr>
              <a:graphicFrameLocks noChangeAspect="1"/>
            </wp:cNvGraphicFramePr>
            <a:graphic>
              <a:graphicData uri="http://schemas.openxmlformats.org/drawingml/2006/picture">
                <pic:pic>
                  <pic:nvPicPr>
                    <pic:cNvPr id="0" name="figure4_aws_topology.png"/>
                    <pic:cNvPicPr/>
                  </pic:nvPicPr>
                  <pic:blipFill>
                    <a:blip r:embed="rId20"/>
                    <a:stretch>
                      <a:fillRect/>
                    </a:stretch>
                  </pic:blipFill>
                  <pic:spPr>
                    <a:xfrm>
                      <a:off x="0" y="0"/>
                      <a:ext cx="5669280" cy="1795272"/>
                    </a:xfrm>
                    <a:prstGeom prst="rect"/>
                  </pic:spPr>
                </pic:pic>
              </a:graphicData>
            </a:graphic>
          </wp:inline>
        </w:drawing>
      </w:r>
    </w:p>
    <w:p>
      <w:pPr>
        <w:keepNext w:val="0"/>
        <w:spacing w:before="40" w:after="200"/>
        <w:jc w:val="center"/>
      </w:pPr>
      <w:r>
        <w:rPr>
          <w:rFonts w:ascii="Times New Roman" w:hAnsi="Times New Roman"/>
          <w:b/>
          <w:i/>
          <w:color w:val="0F172A"/>
          <w:sz w:val="20"/>
        </w:rPr>
        <w:t>Figure 10: AWS Serverless Live Production Topology in Sydney (ap-southeast-2)</w:t>
      </w:r>
    </w:p>
    <w:p>
      <w:pPr>
        <w:keepNext/>
        <w:spacing w:before="240" w:after="80"/>
      </w:pPr>
      <w:r>
        <w:rPr>
          <w:rFonts w:ascii="Times New Roman" w:hAnsi="Times New Roman"/>
          <w:b/>
          <w:color w:val="1E293B"/>
          <w:sz w:val="26"/>
        </w:rPr>
        <w:t>9.3 Monthly Free Tier Cost Breakdown</w:t>
      </w:r>
    </w:p>
    <w:p>
      <w:pPr>
        <w:spacing w:line="300" w:lineRule="auto" w:after="100" w:before="0"/>
        <w:jc w:val="both"/>
      </w:pPr>
      <w:r>
        <w:rPr>
          <w:rFonts w:ascii="Times New Roman" w:hAnsi="Times New Roman"/>
          <w:i w:val="0"/>
          <w:color w:val="111827"/>
          <w:sz w:val="23"/>
        </w:rPr>
        <w:t>Table 9.1 confirms that the entire serverless infrastructure operates completely within AWS Free Tier monthly limits ($0.00/month continuous cloud spend).</w:t>
      </w:r>
    </w:p>
    <w:p>
      <w:pPr>
        <w:keepNext/>
        <w:spacing w:before="160" w:after="80"/>
        <w:jc w:val="center"/>
      </w:pPr>
      <w:r>
        <w:rPr>
          <w:rFonts w:ascii="Times New Roman" w:hAnsi="Times New Roman"/>
          <w:b/>
          <w:color w:val="0F172A"/>
          <w:sz w:val="20"/>
        </w:rPr>
        <w:t>Table 9.1: AWS Free Tier Monthly Compute and Storage Cost Breakdown</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2880"/>
            <w:shd w:fill="1E293B"/>
          </w:tcPr>
          <w:p>
            <w:pPr>
              <w:spacing w:before="80" w:after="80"/>
              <w:jc w:val="left"/>
            </w:pPr>
            <w:r>
              <w:rPr>
                <w:rFonts w:ascii="Times New Roman" w:hAnsi="Times New Roman"/>
                <w:b/>
                <w:color w:val="FFFFFF"/>
                <w:sz w:val="19"/>
              </w:rPr>
              <w:t>AWS Resource</w:t>
            </w:r>
          </w:p>
        </w:tc>
        <w:tc>
          <w:tcPr>
            <w:tcW w:type="dxa" w:w="2880"/>
            <w:shd w:fill="1E293B"/>
          </w:tcPr>
          <w:p>
            <w:pPr>
              <w:spacing w:before="80" w:after="80"/>
              <w:jc w:val="left"/>
            </w:pPr>
            <w:r>
              <w:rPr>
                <w:rFonts w:ascii="Times New Roman" w:hAnsi="Times New Roman"/>
                <w:b/>
                <w:color w:val="FFFFFF"/>
                <w:sz w:val="19"/>
              </w:rPr>
              <w:t>Provisioned Capacity</w:t>
            </w:r>
          </w:p>
        </w:tc>
        <w:tc>
          <w:tcPr>
            <w:tcW w:type="dxa" w:w="2880"/>
            <w:shd w:fill="1E293B"/>
          </w:tcPr>
          <w:p>
            <w:pPr>
              <w:spacing w:before="80" w:after="80"/>
              <w:jc w:val="left"/>
            </w:pPr>
            <w:r>
              <w:rPr>
                <w:rFonts w:ascii="Times New Roman" w:hAnsi="Times New Roman"/>
                <w:b/>
                <w:color w:val="FFFFFF"/>
                <w:sz w:val="19"/>
              </w:rPr>
              <w:t>AWS Free Tier Allowance</w:t>
            </w:r>
          </w:p>
        </w:tc>
        <w:tc>
          <w:tcPr>
            <w:tcW w:type="dxa" w:w="1440"/>
            <w:shd w:fill="1E293B"/>
          </w:tcPr>
          <w:p>
            <w:pPr>
              <w:spacing w:before="80" w:after="80"/>
              <w:jc w:val="left"/>
            </w:pPr>
            <w:r>
              <w:rPr>
                <w:rFonts w:ascii="Times New Roman" w:hAnsi="Times New Roman"/>
                <w:b/>
                <w:color w:val="FFFFFF"/>
                <w:sz w:val="19"/>
              </w:rPr>
              <w:t>Monthly Cost ($)</w:t>
            </w:r>
          </w:p>
        </w:tc>
      </w:tr>
      <w:tr>
        <w:tc>
          <w:tcPr>
            <w:tcW w:type="dxa" w:w="2880"/>
            <w:shd w:fill="FFFFFF"/>
          </w:tcPr>
          <w:p>
            <w:pPr>
              <w:spacing w:before="60" w:after="60" w:line="276" w:lineRule="auto"/>
              <w:jc w:val="left"/>
            </w:pPr>
            <w:r>
              <w:rPr>
                <w:rFonts w:ascii="Times New Roman" w:hAnsi="Times New Roman"/>
                <w:color w:val="1E293B"/>
                <w:sz w:val="18"/>
              </w:rPr>
              <w:t>AWS Lambda Compute</w:t>
            </w:r>
          </w:p>
        </w:tc>
        <w:tc>
          <w:tcPr>
            <w:tcW w:type="dxa" w:w="2880"/>
            <w:shd w:fill="FFFFFF"/>
          </w:tcPr>
          <w:p>
            <w:pPr>
              <w:spacing w:before="60" w:after="60" w:line="276" w:lineRule="auto"/>
              <w:jc w:val="left"/>
            </w:pPr>
            <w:r>
              <w:rPr>
                <w:rFonts w:ascii="Times New Roman" w:hAnsi="Times New Roman"/>
                <w:color w:val="1E293B"/>
                <w:sz w:val="18"/>
              </w:rPr>
              <w:t>128 MB RAM (50,000 req/mo)</w:t>
            </w:r>
          </w:p>
        </w:tc>
        <w:tc>
          <w:tcPr>
            <w:tcW w:type="dxa" w:w="2880"/>
            <w:shd w:fill="FFFFFF"/>
          </w:tcPr>
          <w:p>
            <w:pPr>
              <w:spacing w:before="60" w:after="60" w:line="276" w:lineRule="auto"/>
              <w:jc w:val="left"/>
            </w:pPr>
            <w:r>
              <w:rPr>
                <w:rFonts w:ascii="Times New Roman" w:hAnsi="Times New Roman"/>
                <w:color w:val="1E293B"/>
                <w:sz w:val="18"/>
              </w:rPr>
              <w:t>1,000,000 free requests / mo</w:t>
            </w:r>
          </w:p>
        </w:tc>
        <w:tc>
          <w:tcPr>
            <w:tcW w:type="dxa" w:w="1440"/>
            <w:shd w:fill="FFFFFF"/>
          </w:tcPr>
          <w:p>
            <w:pPr>
              <w:spacing w:before="60" w:after="60" w:line="276" w:lineRule="auto"/>
              <w:jc w:val="left"/>
            </w:pPr>
            <w:r>
              <w:rPr>
                <w:rFonts w:ascii="Times New Roman" w:hAnsi="Times New Roman"/>
                <w:color w:val="1E293B"/>
                <w:sz w:val="18"/>
              </w:rPr>
              <w:t>$0.00 / month</w:t>
            </w:r>
          </w:p>
        </w:tc>
      </w:tr>
      <w:tr>
        <w:tc>
          <w:tcPr>
            <w:tcW w:type="dxa" w:w="2880"/>
            <w:shd w:fill="F8FAFC"/>
          </w:tcPr>
          <w:p>
            <w:pPr>
              <w:spacing w:before="60" w:after="60" w:line="276" w:lineRule="auto"/>
              <w:jc w:val="left"/>
            </w:pPr>
            <w:r>
              <w:rPr>
                <w:rFonts w:ascii="Times New Roman" w:hAnsi="Times New Roman"/>
                <w:color w:val="1E293B"/>
                <w:sz w:val="18"/>
              </w:rPr>
              <w:t>Amazon CloudWatch Logs</w:t>
            </w:r>
          </w:p>
        </w:tc>
        <w:tc>
          <w:tcPr>
            <w:tcW w:type="dxa" w:w="2880"/>
            <w:shd w:fill="F8FAFC"/>
          </w:tcPr>
          <w:p>
            <w:pPr>
              <w:spacing w:before="60" w:after="60" w:line="276" w:lineRule="auto"/>
              <w:jc w:val="left"/>
            </w:pPr>
            <w:r>
              <w:rPr>
                <w:rFonts w:ascii="Times New Roman" w:hAnsi="Times New Roman"/>
                <w:color w:val="1E293B"/>
                <w:sz w:val="18"/>
              </w:rPr>
              <w:t>250 MB log ingestion / mo</w:t>
            </w:r>
          </w:p>
        </w:tc>
        <w:tc>
          <w:tcPr>
            <w:tcW w:type="dxa" w:w="2880"/>
            <w:shd w:fill="F8FAFC"/>
          </w:tcPr>
          <w:p>
            <w:pPr>
              <w:spacing w:before="60" w:after="60" w:line="276" w:lineRule="auto"/>
              <w:jc w:val="left"/>
            </w:pPr>
            <w:r>
              <w:rPr>
                <w:rFonts w:ascii="Times New Roman" w:hAnsi="Times New Roman"/>
                <w:color w:val="1E293B"/>
                <w:sz w:val="18"/>
              </w:rPr>
              <w:t>5.0 GB free log ingestion / mo</w:t>
            </w:r>
          </w:p>
        </w:tc>
        <w:tc>
          <w:tcPr>
            <w:tcW w:type="dxa" w:w="1440"/>
            <w:shd w:fill="F8FAFC"/>
          </w:tcPr>
          <w:p>
            <w:pPr>
              <w:spacing w:before="60" w:after="60" w:line="276" w:lineRule="auto"/>
              <w:jc w:val="left"/>
            </w:pPr>
            <w:r>
              <w:rPr>
                <w:rFonts w:ascii="Times New Roman" w:hAnsi="Times New Roman"/>
                <w:color w:val="1E293B"/>
                <w:sz w:val="18"/>
              </w:rPr>
              <w:t>$0.00 / month</w:t>
            </w:r>
          </w:p>
        </w:tc>
      </w:tr>
      <w:tr>
        <w:tc>
          <w:tcPr>
            <w:tcW w:type="dxa" w:w="2880"/>
            <w:shd w:fill="FFFFFF"/>
          </w:tcPr>
          <w:p>
            <w:pPr>
              <w:spacing w:before="60" w:after="60" w:line="276" w:lineRule="auto"/>
              <w:jc w:val="left"/>
            </w:pPr>
            <w:r>
              <w:rPr>
                <w:rFonts w:ascii="Times New Roman" w:hAnsi="Times New Roman"/>
                <w:color w:val="1E293B"/>
                <w:sz w:val="18"/>
              </w:rPr>
              <w:t>Amazon S3 Storage</w:t>
            </w:r>
          </w:p>
        </w:tc>
        <w:tc>
          <w:tcPr>
            <w:tcW w:type="dxa" w:w="2880"/>
            <w:shd w:fill="FFFFFF"/>
          </w:tcPr>
          <w:p>
            <w:pPr>
              <w:spacing w:before="60" w:after="60" w:line="276" w:lineRule="auto"/>
              <w:jc w:val="left"/>
            </w:pPr>
            <w:r>
              <w:rPr>
                <w:rFonts w:ascii="Times New Roman" w:hAnsi="Times New Roman"/>
                <w:color w:val="1E293B"/>
                <w:sz w:val="18"/>
              </w:rPr>
              <w:t>50 MB JSON crash dumps / mo</w:t>
            </w:r>
          </w:p>
        </w:tc>
        <w:tc>
          <w:tcPr>
            <w:tcW w:type="dxa" w:w="2880"/>
            <w:shd w:fill="FFFFFF"/>
          </w:tcPr>
          <w:p>
            <w:pPr>
              <w:spacing w:before="60" w:after="60" w:line="276" w:lineRule="auto"/>
              <w:jc w:val="left"/>
            </w:pPr>
            <w:r>
              <w:rPr>
                <w:rFonts w:ascii="Times New Roman" w:hAnsi="Times New Roman"/>
                <w:color w:val="1E293B"/>
                <w:sz w:val="18"/>
              </w:rPr>
              <w:t>5.0 GB free Standard storage / mo</w:t>
            </w:r>
          </w:p>
        </w:tc>
        <w:tc>
          <w:tcPr>
            <w:tcW w:type="dxa" w:w="1440"/>
            <w:shd w:fill="FFFFFF"/>
          </w:tcPr>
          <w:p>
            <w:pPr>
              <w:spacing w:before="60" w:after="60" w:line="276" w:lineRule="auto"/>
              <w:jc w:val="left"/>
            </w:pPr>
            <w:r>
              <w:rPr>
                <w:rFonts w:ascii="Times New Roman" w:hAnsi="Times New Roman"/>
                <w:color w:val="1E293B"/>
                <w:sz w:val="18"/>
              </w:rPr>
              <w:t>$0.00 / month</w:t>
            </w:r>
          </w:p>
        </w:tc>
      </w:tr>
      <w:tr>
        <w:tc>
          <w:tcPr>
            <w:tcW w:type="dxa" w:w="2880"/>
            <w:shd w:fill="F8FAFC"/>
          </w:tcPr>
          <w:p>
            <w:pPr>
              <w:spacing w:before="60" w:after="60" w:line="276" w:lineRule="auto"/>
              <w:jc w:val="left"/>
            </w:pPr>
            <w:r>
              <w:rPr>
                <w:rFonts w:ascii="Times New Roman" w:hAnsi="Times New Roman"/>
                <w:color w:val="1E293B"/>
                <w:sz w:val="18"/>
              </w:rPr>
              <w:t>Total Cloud Spend</w:t>
            </w:r>
          </w:p>
        </w:tc>
        <w:tc>
          <w:tcPr>
            <w:tcW w:type="dxa" w:w="2880"/>
            <w:shd w:fill="F8FAFC"/>
          </w:tcPr>
          <w:p>
            <w:pPr>
              <w:spacing w:before="60" w:after="60" w:line="276" w:lineRule="auto"/>
              <w:jc w:val="left"/>
            </w:pPr>
            <w:r>
              <w:rPr>
                <w:rFonts w:ascii="Times New Roman" w:hAnsi="Times New Roman"/>
                <w:color w:val="1E293B"/>
                <w:sz w:val="18"/>
              </w:rPr>
              <w:t>Complete Infrastructure</w:t>
            </w:r>
          </w:p>
        </w:tc>
        <w:tc>
          <w:tcPr>
            <w:tcW w:type="dxa" w:w="2880"/>
            <w:shd w:fill="F8FAFC"/>
          </w:tcPr>
          <w:p>
            <w:pPr>
              <w:spacing w:before="60" w:after="60" w:line="276" w:lineRule="auto"/>
              <w:jc w:val="left"/>
            </w:pPr>
            <w:r>
              <w:rPr>
                <w:rFonts w:ascii="Times New Roman" w:hAnsi="Times New Roman"/>
                <w:color w:val="1E293B"/>
                <w:sz w:val="18"/>
              </w:rPr>
              <w:t>100% Covered Under AWS Free Tier</w:t>
            </w:r>
          </w:p>
        </w:tc>
        <w:tc>
          <w:tcPr>
            <w:tcW w:type="dxa" w:w="1440"/>
            <w:shd w:fill="F8FAFC"/>
          </w:tcPr>
          <w:p>
            <w:pPr>
              <w:spacing w:before="60" w:after="60" w:line="276" w:lineRule="auto"/>
              <w:jc w:val="left"/>
            </w:pPr>
            <w:r>
              <w:rPr>
                <w:rFonts w:ascii="Times New Roman" w:hAnsi="Times New Roman"/>
                <w:color w:val="1E293B"/>
                <w:sz w:val="18"/>
              </w:rPr>
              <w:t>$0.00 / month</w:t>
            </w:r>
          </w:p>
        </w:tc>
      </w:tr>
    </w:tbl>
    <w:p>
      <w:pPr>
        <w:spacing w:before="0" w:after="120"/>
      </w:pPr>
    </w:p>
    <w:p>
      <w:pPr>
        <w:keepNext/>
        <w:spacing w:before="320" w:after="120"/>
      </w:pPr>
      <w:r>
        <w:rPr>
          <w:rFonts w:ascii="Times New Roman" w:hAnsi="Times New Roman"/>
          <w:b/>
          <w:color w:val="0F172A"/>
          <w:sz w:val="31"/>
        </w:rPr>
        <w:t>10. End-to-End Workflow Synthesis &amp; Conclusion</w:t>
      </w:r>
    </w:p>
    <w:p>
      <w:pPr>
        <w:keepNext/>
        <w:spacing w:before="240" w:after="80"/>
      </w:pPr>
      <w:r>
        <w:rPr>
          <w:rFonts w:ascii="Times New Roman" w:hAnsi="Times New Roman"/>
          <w:b/>
          <w:color w:val="1E293B"/>
          <w:sz w:val="26"/>
        </w:rPr>
        <w:t>10.1 Complete 7-Stage Remediation Lifecycle</w:t>
      </w:r>
    </w:p>
    <w:p>
      <w:pPr>
        <w:spacing w:line="300" w:lineRule="auto" w:after="100" w:before="0"/>
        <w:jc w:val="both"/>
      </w:pPr>
      <w:r>
        <w:rPr>
          <w:rFonts w:ascii="Times New Roman" w:hAnsi="Times New Roman"/>
          <w:i w:val="0"/>
          <w:color w:val="111827"/>
          <w:sz w:val="23"/>
        </w:rPr>
        <w:t>The complete operational lifecycle of DevOps Incident Watchdog progresses through seven automated stages, from customer order dispatch to GitOps automated closure. Figure 11 illustrates this end-to-end remediation workflow.</w:t>
      </w:r>
    </w:p>
    <w:p>
      <w:pPr>
        <w:keepNext/>
        <w:spacing w:before="160" w:after="40"/>
        <w:jc w:val="center"/>
      </w:pPr>
      <w:r>
        <w:drawing>
          <wp:inline xmlns:a="http://schemas.openxmlformats.org/drawingml/2006/main" xmlns:pic="http://schemas.openxmlformats.org/drawingml/2006/picture">
            <wp:extent cx="5669280" cy="1700784"/>
            <wp:docPr id="11" name="Picture 11"/>
            <wp:cNvGraphicFramePr>
              <a:graphicFrameLocks noChangeAspect="1"/>
            </wp:cNvGraphicFramePr>
            <a:graphic>
              <a:graphicData uri="http://schemas.openxmlformats.org/drawingml/2006/picture">
                <pic:pic>
                  <pic:nvPicPr>
                    <pic:cNvPr id="0" name="figure2_workflow.png"/>
                    <pic:cNvPicPr/>
                  </pic:nvPicPr>
                  <pic:blipFill>
                    <a:blip r:embed="rId21"/>
                    <a:stretch>
                      <a:fillRect/>
                    </a:stretch>
                  </pic:blipFill>
                  <pic:spPr>
                    <a:xfrm>
                      <a:off x="0" y="0"/>
                      <a:ext cx="5669280" cy="1700784"/>
                    </a:xfrm>
                    <a:prstGeom prst="rect"/>
                  </pic:spPr>
                </pic:pic>
              </a:graphicData>
            </a:graphic>
          </wp:inline>
        </w:drawing>
      </w:r>
    </w:p>
    <w:p>
      <w:pPr>
        <w:keepNext w:val="0"/>
        <w:spacing w:before="40" w:after="200"/>
        <w:jc w:val="center"/>
      </w:pPr>
      <w:r>
        <w:rPr>
          <w:rFonts w:ascii="Times New Roman" w:hAnsi="Times New Roman"/>
          <w:b/>
          <w:i/>
          <w:color w:val="0F172A"/>
          <w:sz w:val="20"/>
        </w:rPr>
        <w:t>Figure 11: End-to-End Autonomous Incident-to-Agile Remediation Workflow</w:t>
      </w:r>
    </w:p>
    <w:p>
      <w:pPr>
        <w:keepNext/>
        <w:spacing w:before="240" w:after="80"/>
      </w:pPr>
      <w:r>
        <w:rPr>
          <w:rFonts w:ascii="Times New Roman" w:hAnsi="Times New Roman"/>
          <w:b/>
          <w:color w:val="1E293B"/>
          <w:sz w:val="26"/>
        </w:rPr>
        <w:t>10.2 Verified Performance Metrics &amp; Engineering Achievements</w:t>
      </w:r>
    </w:p>
    <w:p>
      <w:pPr>
        <w:spacing w:line="300" w:lineRule="auto" w:after="100" w:before="0"/>
        <w:jc w:val="both"/>
      </w:pPr>
      <w:r>
        <w:rPr>
          <w:rFonts w:ascii="Times New Roman" w:hAnsi="Times New Roman"/>
          <w:i w:val="0"/>
          <w:color w:val="111827"/>
          <w:sz w:val="23"/>
        </w:rPr>
        <w:t>The implementation and rigorous testing of DevOps Incident Watchdog substantiate four key engineering achievements:</w:t>
      </w:r>
    </w:p>
    <w:p>
      <w:pPr>
        <w:pStyle w:val="ListBullet"/>
        <w:spacing w:line="288" w:lineRule="auto" w:after="60" w:before="0"/>
        <w:jc w:val="both"/>
      </w:pPr>
      <w:r>
        <w:rPr>
          <w:rFonts w:ascii="Times New Roman" w:hAnsi="Times New Roman"/>
          <w:b/>
          <w:color w:val="111827"/>
          <w:sz w:val="23"/>
        </w:rPr>
        <w:t xml:space="preserve">1. MTTA Reduction: </w:t>
      </w:r>
      <w:r>
        <w:rPr>
          <w:rFonts w:ascii="Times New Roman" w:hAnsi="Times New Roman"/>
          <w:color w:val="111827"/>
          <w:sz w:val="23"/>
        </w:rPr>
        <w:t>Mean-Time-to-Acknowledge (MTTA) is reduced from 2-8 hours of manual administrative drag to under 24 seconds.</w:t>
      </w:r>
    </w:p>
    <w:p>
      <w:pPr>
        <w:pStyle w:val="ListBullet"/>
        <w:spacing w:line="288" w:lineRule="auto" w:after="60" w:before="0"/>
        <w:jc w:val="both"/>
      </w:pPr>
      <w:r>
        <w:rPr>
          <w:rFonts w:ascii="Times New Roman" w:hAnsi="Times New Roman"/>
          <w:b/>
          <w:color w:val="111827"/>
          <w:sz w:val="23"/>
        </w:rPr>
        <w:t xml:space="preserve">2. Quality Assurance: </w:t>
      </w:r>
      <w:r>
        <w:rPr>
          <w:rFonts w:ascii="Times New Roman" w:hAnsi="Times New Roman"/>
          <w:color w:val="111827"/>
          <w:sz w:val="23"/>
        </w:rPr>
        <w:t>100% automated regression test coverage across 9 Pytest suites passing in 0.53 seconds.</w:t>
      </w:r>
    </w:p>
    <w:p>
      <w:pPr>
        <w:pStyle w:val="ListBullet"/>
        <w:spacing w:line="288" w:lineRule="auto" w:after="60" w:before="0"/>
        <w:jc w:val="both"/>
      </w:pPr>
      <w:r>
        <w:rPr>
          <w:rFonts w:ascii="Times New Roman" w:hAnsi="Times New Roman"/>
          <w:b/>
          <w:color w:val="111827"/>
          <w:sz w:val="23"/>
        </w:rPr>
        <w:t xml:space="preserve">3. Forensic Integrity: </w:t>
      </w:r>
      <w:r>
        <w:rPr>
          <w:rFonts w:ascii="Times New Roman" w:hAnsi="Times New Roman"/>
          <w:color w:val="111827"/>
          <w:sz w:val="23"/>
        </w:rPr>
        <w:t>Permanent forensic compliance guaranteed through 11 9's durability in Amazon S3.</w:t>
      </w:r>
    </w:p>
    <w:p>
      <w:pPr>
        <w:pStyle w:val="ListBullet"/>
        <w:spacing w:line="288" w:lineRule="auto" w:after="60" w:before="0"/>
        <w:jc w:val="both"/>
      </w:pPr>
      <w:r>
        <w:rPr>
          <w:rFonts w:ascii="Times New Roman" w:hAnsi="Times New Roman"/>
          <w:b/>
          <w:color w:val="111827"/>
          <w:sz w:val="23"/>
        </w:rPr>
        <w:t xml:space="preserve">4. Cost Efficiency: </w:t>
      </w:r>
      <w:r>
        <w:rPr>
          <w:rFonts w:ascii="Times New Roman" w:hAnsi="Times New Roman"/>
          <w:color w:val="111827"/>
          <w:sz w:val="23"/>
        </w:rPr>
        <w:t>Zero continuous operational cloud spend ($0.00/month) within AWS Free Tier thresholds.</w:t>
      </w:r>
    </w:p>
    <w:p>
      <w:pPr>
        <w:keepNext/>
        <w:spacing w:before="240" w:after="80"/>
      </w:pPr>
      <w:r>
        <w:rPr>
          <w:rFonts w:ascii="Times New Roman" w:hAnsi="Times New Roman"/>
          <w:b/>
          <w:color w:val="1E293B"/>
          <w:sz w:val="26"/>
        </w:rPr>
        <w:t>10.3 Final Assessment for Faculty Evaluation</w:t>
      </w:r>
    </w:p>
    <w:p>
      <w:pPr>
        <w:spacing w:line="300" w:lineRule="auto" w:after="100" w:before="0"/>
        <w:jc w:val="both"/>
      </w:pPr>
      <w:r>
        <w:rPr>
          <w:rFonts w:ascii="Times New Roman" w:hAnsi="Times New Roman"/>
          <w:i w:val="0"/>
          <w:color w:val="111827"/>
          <w:sz w:val="23"/>
        </w:rPr>
        <w:t>In conclusion, DevOps Incident Watchdog demonstrates that autonomous Site Reliability Engineering telemetry and Agile sprint management can operate in complete software-defined harmony. By transforming transient microservice exceptions into structured, actionable developer stories and closing them via automated CI/CD verification, the platform frees software engineers to dedicate their energy to root-cause development rather than manual administrative bookkeeping.</w:t>
      </w:r>
    </w:p>
    <w:sectPr w:rsidR="00FC693F" w:rsidRPr="0006063C" w:rsidSect="00034616">
      <w:headerReference w:type="default" r:id="rId9"/>
      <w:footerReference w:type="default" r:id="rId10"/>
      <w:pgSz w:w="11909" w:h="16834"/>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FlashMart &amp; DevOps Incident Watchdog - Application &amp; Incident Guide | ISWE406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