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                 MANDAPALLI HEMA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                                                                                                                                                ASSIGNMENT-4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7" name="Picture 17" descr="Screenshot (2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20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6" name="Picture 16" descr="Screenshot (20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204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21" name="Picture 21" descr="Screenshot (20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20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9" name="Picture 19" descr="Screenshot (2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20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18" name="Picture 18" descr="Screenshot (2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208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32" name="Picture 32" descr="Screenshot (2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(20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31" name="Picture 31" descr="Screenshot (2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(21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30" name="Picture 30" descr="Screenshot (2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(21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29" name="Picture 29" descr="Screenshot (2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(21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drawing>
          <wp:inline distT="0" distB="0" distL="114300" distR="114300">
            <wp:extent cx="5266690" cy="2962910"/>
            <wp:effectExtent l="0" t="0" r="3810" b="8890"/>
            <wp:docPr id="28" name="Picture 28" descr="Screenshot (2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213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5C27DB"/>
    <w:rsid w:val="475C2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2023-12-07T12:23:00Z</dcterms:created>
  <dc:creator>hp</dc:creator>
  <cp:lastModifiedBy>hp</cp:lastModifiedBy>
  <dcterms:modified xsi:type="dcterms:W3CDTF">2023-12-07T12:36:34Z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2057-12.2.0.13306</vt:lpwstr>
  </property>
  <property fmtid="{D5CDD505-2E9C-101B-9397-08002B2CF9AE}" pid="3" name="ICV">
    <vt:lpwstr>750CC7C1787D47EC940687D398091866_11</vt:lpwstr>
  </property>
</Properties>
</file>