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7C4D" w14:textId="77777777" w:rsidR="00FF2710" w:rsidRDefault="00000000" w:rsidP="004D6731">
      <w:pPr>
        <w:pStyle w:val="Heading1"/>
        <w:jc w:val="both"/>
      </w:pPr>
      <w:bookmarkStart w:id="0" w:name="t17-demo-guide-and-rubric-checklist"/>
      <w:r>
        <w:t>T17 – Demo Guide and Rubric Checklist</w:t>
      </w:r>
    </w:p>
    <w:p w14:paraId="00088CF7" w14:textId="59D4A4B9" w:rsidR="00FF2710" w:rsidRDefault="00000000" w:rsidP="004D6731">
      <w:pPr>
        <w:pStyle w:val="FirstParagraph"/>
        <w:jc w:val="both"/>
      </w:pPr>
      <w:r>
        <w:t xml:space="preserve">App link: </w:t>
      </w:r>
      <w:hyperlink r:id="rId7" w:history="1">
        <w:r w:rsidRPr="00ED59C1">
          <w:rPr>
            <w:rStyle w:val="Hyperlink"/>
          </w:rPr>
          <w:t>https://claude.ai/artifact</w:t>
        </w:r>
        <w:r w:rsidRPr="00ED59C1">
          <w:rPr>
            <w:rStyle w:val="Hyperlink"/>
          </w:rPr>
          <w:t>/</w:t>
        </w:r>
        <w:r w:rsidRPr="00ED59C1">
          <w:rPr>
            <w:rStyle w:val="Hyperlink"/>
          </w:rPr>
          <w:t>4A9xM</w:t>
        </w:r>
        <w:r w:rsidRPr="00ED59C1">
          <w:rPr>
            <w:rStyle w:val="Hyperlink"/>
          </w:rPr>
          <w:t>K</w:t>
        </w:r>
        <w:r w:rsidRPr="00ED59C1">
          <w:rPr>
            <w:rStyle w:val="Hyperlink"/>
          </w:rPr>
          <w:t>7H3w9qsdmhRR</w:t>
        </w:r>
        <w:r w:rsidRPr="00ED59C1">
          <w:rPr>
            <w:rStyle w:val="Hyperlink"/>
          </w:rPr>
          <w:t>Q</w:t>
        </w:r>
        <w:r w:rsidRPr="00ED59C1">
          <w:rPr>
            <w:rStyle w:val="Hyperlink"/>
          </w:rPr>
          <w:t>e8r</w:t>
        </w:r>
      </w:hyperlink>
      <w:r>
        <w:t xml:space="preserve"> </w:t>
      </w:r>
      <w:r w:rsidR="004D6731">
        <w:tab/>
      </w:r>
      <w:r w:rsidR="004D6731">
        <w:br/>
      </w:r>
      <w:r>
        <w:t xml:space="preserve">(also </w:t>
      </w:r>
      <w:r>
        <w:rPr>
          <w:rStyle w:val="VerbatimChar"/>
        </w:rPr>
        <w:t>claim_redflag_checker.html</w:t>
      </w:r>
      <w:r>
        <w:t>, opens in any browser)</w:t>
      </w:r>
    </w:p>
    <w:p w14:paraId="63147DED" w14:textId="77777777" w:rsidR="00FF2710" w:rsidRDefault="00000000" w:rsidP="004D6731">
      <w:pPr>
        <w:pStyle w:val="Heading2"/>
        <w:jc w:val="both"/>
      </w:pPr>
      <w:bookmarkStart w:id="1" w:name="X7d754795ccecee2b2371f23c471f23165ab6059"/>
      <w:r>
        <w:t>Demo walkthrough (record your screen as evidence)</w:t>
      </w:r>
    </w:p>
    <w:p w14:paraId="242FCEA8" w14:textId="77777777" w:rsidR="00FF2710" w:rsidRDefault="00000000" w:rsidP="004D67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Load claims</w:t>
      </w:r>
      <w:r>
        <w:t xml:space="preserve"> – open the app, choose the T17 workbook. Only the Claims sheet is read. Note the verification table (all lines should say PASS; the repeated policy number is reported, not removed).</w:t>
      </w:r>
    </w:p>
    <w:p w14:paraId="5917D72D" w14:textId="77777777" w:rsidR="00FF2710" w:rsidRDefault="00000000" w:rsidP="004D67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Explore</w:t>
      </w:r>
      <w:r>
        <w:t xml:space="preserve"> – Executive Dashboard: KPI cards and six charts; change a filter and watch them update.</w:t>
      </w:r>
    </w:p>
    <w:p w14:paraId="02A6B284" w14:textId="77777777" w:rsidR="00FF2710" w:rsidRDefault="00000000" w:rsidP="004D67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Assess a claim</w:t>
      </w:r>
      <w:r>
        <w:t xml:space="preserve"> – Claim Explorer: search a claim ID, sort by score, click a row to see rule points, plain-English reasons, verification steps and the disclaimer.</w:t>
      </w:r>
    </w:p>
    <w:p w14:paraId="501B2B46" w14:textId="77777777" w:rsidR="00FF2710" w:rsidRDefault="00000000" w:rsidP="004D67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Add a hypothetical claim</w:t>
      </w:r>
      <w:r>
        <w:t xml:space="preserve"> – Add New Claim: try an invalid entry (negative amount) to show validation, then a valid one. It is labelled hypothetical and is not added to the data.</w:t>
      </w:r>
    </w:p>
    <w:p w14:paraId="3D57F48C" w14:textId="77777777" w:rsidR="00FF2710" w:rsidRDefault="00000000" w:rsidP="004D67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Review rules</w:t>
      </w:r>
      <w:r>
        <w:t xml:space="preserve"> – Rules &amp; Freeze: inspect conditions, weights, rationale, actions and thresholds. (Any edit creates a new version; v1.0 is never overwritten.)</w:t>
      </w:r>
    </w:p>
    <w:p w14:paraId="724D80B7" w14:textId="77777777" w:rsidR="00FF2710" w:rsidRDefault="00000000" w:rsidP="004D67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Freeze</w:t>
      </w:r>
      <w:r>
        <w:t xml:space="preserve"> – press “Freeze v1.0 predictions”; export the frozen predictions CSV as your pre-evaluation record.</w:t>
      </w:r>
    </w:p>
    <w:p w14:paraId="224FCEDD" w14:textId="77777777" w:rsidR="00FF2710" w:rsidRDefault="00000000" w:rsidP="004D67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Import gold labels (only now)</w:t>
      </w:r>
      <w:r>
        <w:t xml:space="preserve"> – Evaluation tab: choose the workbook or a CSV with claim_id and confirmed_fraud_label. Check the join report.</w:t>
      </w:r>
    </w:p>
    <w:p w14:paraId="6ABFBACA" w14:textId="77777777" w:rsidR="00FF2710" w:rsidRDefault="00000000" w:rsidP="004D67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Review performance</w:t>
      </w:r>
      <w:r>
        <w:t xml:space="preserve"> – confusion matrix, metrics with numerators and denominators, consistency checks. Treat the threshold table as exploratory.</w:t>
      </w:r>
    </w:p>
    <w:p w14:paraId="08844C36" w14:textId="35AE0E2C" w:rsidR="00FF2710" w:rsidRDefault="00000000" w:rsidP="004D6731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Export</w:t>
      </w:r>
      <w:r>
        <w:t xml:space="preserve"> – evaluation claim-level CSV, metrics CSV, AI-use log CSV. Copy the results into the report (Section 5) and workbook sheets marked “Not evaluated yet”.</w:t>
      </w:r>
      <w:bookmarkStart w:id="2" w:name="rubric-checklist-30-marks"/>
      <w:bookmarkEnd w:id="1"/>
    </w:p>
    <w:bookmarkEnd w:id="0"/>
    <w:bookmarkEnd w:id="2"/>
    <w:p w14:paraId="57815F79" w14:textId="77777777" w:rsidR="00AA3E50" w:rsidRDefault="00AA3E50" w:rsidP="004D6731">
      <w:pPr>
        <w:jc w:val="both"/>
      </w:pPr>
    </w:p>
    <w:sectPr w:rsidR="00AA3E5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23C95" w14:textId="77777777" w:rsidR="00AA3E50" w:rsidRDefault="00AA3E50">
      <w:pPr>
        <w:spacing w:after="0"/>
      </w:pPr>
      <w:r>
        <w:separator/>
      </w:r>
    </w:p>
  </w:endnote>
  <w:endnote w:type="continuationSeparator" w:id="0">
    <w:p w14:paraId="5FCF6977" w14:textId="77777777" w:rsidR="00AA3E50" w:rsidRDefault="00AA3E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2004E" w14:textId="77777777" w:rsidR="00AA3E50" w:rsidRDefault="00AA3E50">
      <w:r>
        <w:separator/>
      </w:r>
    </w:p>
  </w:footnote>
  <w:footnote w:type="continuationSeparator" w:id="0">
    <w:p w14:paraId="5D3503EC" w14:textId="77777777" w:rsidR="00AA3E50" w:rsidRDefault="00AA3E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48B88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8B56C66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16467698">
    <w:abstractNumId w:val="0"/>
  </w:num>
  <w:num w:numId="2" w16cid:durableId="6981606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710"/>
    <w:rsid w:val="004D6731"/>
    <w:rsid w:val="00AA3E50"/>
    <w:rsid w:val="00DD043E"/>
    <w:rsid w:val="00ED59C1"/>
    <w:rsid w:val="00FF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A449"/>
  <w15:docId w15:val="{DE245426-3FA1-49B2-906C-259A59903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D59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ED59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artifact/4A9xMK7H3w9qsdmhRRQe8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Juie Shah</cp:lastModifiedBy>
  <cp:revision>2</cp:revision>
  <dcterms:created xsi:type="dcterms:W3CDTF">2026-10-04T13:31:00Z</dcterms:created>
  <dcterms:modified xsi:type="dcterms:W3CDTF">2026-10-04T14:15:00Z</dcterms:modified>
</cp:coreProperties>
</file>