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484B8F28" w14:textId="5679D9FD" w:rsidR="0079404D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12804" w:history="1">
            <w:r w:rsidR="0079404D" w:rsidRPr="00221D01">
              <w:rPr>
                <w:rStyle w:val="Hyperlink"/>
                <w:noProof/>
              </w:rPr>
              <w:t>I) Probability and statistics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_Toc29912804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3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15BFDDBB" w14:textId="415B34BA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05" w:history="1">
            <w:r w:rsidR="0079404D" w:rsidRPr="00221D01">
              <w:rPr>
                <w:rStyle w:val="Hyperlink"/>
                <w:noProof/>
              </w:rPr>
              <w:t>Discrete random variables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_Toc29912805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3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7CAA0D7F" w14:textId="510F182E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06" w:history="1">
            <w:r w:rsidR="0079404D" w:rsidRPr="00221D01">
              <w:rPr>
                <w:rStyle w:val="Hyperlink"/>
                <w:noProof/>
              </w:rPr>
              <w:t>Binomial distribution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_Toc29912806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3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22D4B4AE" w14:textId="251186C6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07" w:history="1">
            <w:r w:rsidR="0079404D" w:rsidRPr="00221D01">
              <w:rPr>
                <w:rStyle w:val="Hyperlink"/>
                <w:noProof/>
              </w:rPr>
              <w:t>Poisson distribution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_Toc29912807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4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55242E48" w14:textId="2F89F546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08" w:history="1">
            <w:r w:rsidR="0079404D" w:rsidRPr="00221D01">
              <w:rPr>
                <w:rStyle w:val="Hyperlink"/>
                <w:noProof/>
              </w:rPr>
              <w:t>Continuous random variables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_Toc29912808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4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68106D66" w14:textId="32B51C90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09" w:history="1">
            <w:r w:rsidR="0079404D" w:rsidRPr="00221D01">
              <w:rPr>
                <w:rStyle w:val="Hyperlink"/>
                <w:noProof/>
              </w:rPr>
              <w:t>Uniform distribution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_Toc29912809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4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5941DBD0" w14:textId="76F78790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10" w:history="1">
            <w:r w:rsidR="0079404D" w:rsidRPr="00221D01">
              <w:rPr>
                <w:rStyle w:val="Hyperlink"/>
                <w:noProof/>
              </w:rPr>
              <w:t>Normal distribution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_Toc29912810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5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4E9A9AC5" w14:textId="128D1E9B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11" w:history="1">
            <w:r w:rsidR="0079404D" w:rsidRPr="00221D01">
              <w:rPr>
                <w:rStyle w:val="Hyperlink"/>
                <w:noProof/>
              </w:rPr>
              <w:t>Some remarks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_Toc29912811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5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1C305A1A" w14:textId="4AFE4514" w:rsidR="0079404D" w:rsidRDefault="009B3AF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912812" w:history="1">
            <w:r w:rsidR="0079404D" w:rsidRPr="00221D01">
              <w:rPr>
                <w:rStyle w:val="Hyperlink"/>
                <w:noProof/>
              </w:rPr>
              <w:t>II) Financial derivative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_Toc29912812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6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05FD4575" w14:textId="57503BC9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13" w:history="1">
            <w:r w:rsidR="0079404D" w:rsidRPr="00221D01">
              <w:rPr>
                <w:rStyle w:val="Hyperlink"/>
                <w:noProof/>
              </w:rPr>
              <w:t>Forward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_Toc29912813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6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605E3AD8" w14:textId="34365FFE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14" w:history="1">
            <w:r w:rsidR="0079404D" w:rsidRPr="00221D01">
              <w:rPr>
                <w:rStyle w:val="Hyperlink"/>
                <w:noProof/>
              </w:rPr>
              <w:t>Option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_Toc29912814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6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1A046A28" w14:textId="416062E2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15" w:history="1">
            <w:r w:rsidR="0079404D" w:rsidRPr="00221D01">
              <w:rPr>
                <w:rStyle w:val="Hyperlink"/>
                <w:noProof/>
              </w:rPr>
              <w:t>Binomial tree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_Toc29912815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6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36693369" w14:textId="4F271800" w:rsidR="0079404D" w:rsidRDefault="009B3AF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912816" w:history="1">
            <w:r w:rsidR="0079404D" w:rsidRPr="00221D01">
              <w:rPr>
                <w:rStyle w:val="Hyperlink"/>
                <w:noProof/>
              </w:rPr>
              <w:t>III) Stochastic calculus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_Toc29912816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7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7CE6036E" w14:textId="288DF46B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17" w:history="1">
            <w:r w:rsidR="0079404D" w:rsidRPr="00221D01">
              <w:rPr>
                <w:rStyle w:val="Hyperlink"/>
                <w:noProof/>
              </w:rPr>
              <w:t>Brownian motion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_Toc29912817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7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1F1E8D52" w14:textId="7F345AAE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18" w:history="1">
            <w:r w:rsidR="0079404D" w:rsidRPr="00221D01">
              <w:rPr>
                <w:rStyle w:val="Hyperlink"/>
                <w:noProof/>
              </w:rPr>
              <w:t>Stochastic integral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_Toc29912818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7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72204E17" w14:textId="49D4B1CE" w:rsidR="0079404D" w:rsidRDefault="009B3AF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912819" w:history="1">
            <w:r w:rsidR="0079404D" w:rsidRPr="00221D01">
              <w:rPr>
                <w:rStyle w:val="Hyperlink"/>
                <w:noProof/>
              </w:rPr>
              <w:t>IV) Simulation methods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_Toc29912819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9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5C60B73F" w14:textId="6DE9FE18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20" w:history="1">
            <w:r w:rsidR="0079404D" w:rsidRPr="00221D01">
              <w:rPr>
                <w:rStyle w:val="Hyperlink"/>
                <w:noProof/>
              </w:rPr>
              <w:t>Theoretical support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_Toc29912820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9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0562E580" w14:textId="5CB6D87B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21" w:history="1">
            <w:r w:rsidR="0079404D" w:rsidRPr="00221D01">
              <w:rPr>
                <w:rStyle w:val="Hyperlink"/>
                <w:noProof/>
              </w:rPr>
              <w:t>Standard Monte Carlo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_Toc29912821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9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3E0B0B69" w14:textId="2A419AB2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22" w:history="1">
            <w:r w:rsidR="0079404D" w:rsidRPr="00221D01">
              <w:rPr>
                <w:rStyle w:val="Hyperlink"/>
                <w:noProof/>
              </w:rPr>
              <w:t>Inverse transform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_Toc29912822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9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48C17F8E" w14:textId="0DF09289" w:rsidR="0079404D" w:rsidRDefault="009B3AF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12823" w:history="1">
            <w:r w:rsidR="0079404D" w:rsidRPr="00221D01">
              <w:rPr>
                <w:rStyle w:val="Hyperlink"/>
                <w:noProof/>
              </w:rPr>
              <w:t>Rejection sampling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_Toc29912823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10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42473E35" w14:textId="56CA4CCB" w:rsidR="0079404D" w:rsidRDefault="009B3AF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912824" w:history="1">
            <w:r w:rsidR="0079404D" w:rsidRPr="00221D01">
              <w:rPr>
                <w:rStyle w:val="Hyperlink"/>
                <w:noProof/>
              </w:rPr>
              <w:t>V) Variance reduction</w:t>
            </w:r>
            <w:r w:rsidR="0079404D">
              <w:rPr>
                <w:noProof/>
                <w:webHidden/>
              </w:rPr>
              <w:tab/>
            </w:r>
            <w:r w:rsidR="0079404D">
              <w:rPr>
                <w:noProof/>
                <w:webHidden/>
              </w:rPr>
              <w:fldChar w:fldCharType="begin"/>
            </w:r>
            <w:r w:rsidR="0079404D">
              <w:rPr>
                <w:noProof/>
                <w:webHidden/>
              </w:rPr>
              <w:instrText xml:space="preserve"> PAGEREF _Toc29912824 \h </w:instrText>
            </w:r>
            <w:r w:rsidR="0079404D">
              <w:rPr>
                <w:noProof/>
                <w:webHidden/>
              </w:rPr>
            </w:r>
            <w:r w:rsidR="0079404D">
              <w:rPr>
                <w:noProof/>
                <w:webHidden/>
              </w:rPr>
              <w:fldChar w:fldCharType="separate"/>
            </w:r>
            <w:r w:rsidR="0079404D">
              <w:rPr>
                <w:noProof/>
                <w:webHidden/>
              </w:rPr>
              <w:t>11</w:t>
            </w:r>
            <w:r w:rsidR="0079404D">
              <w:rPr>
                <w:noProof/>
                <w:webHidden/>
              </w:rPr>
              <w:fldChar w:fldCharType="end"/>
            </w:r>
          </w:hyperlink>
        </w:p>
        <w:p w14:paraId="19382578" w14:textId="2EBA9DFC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29912804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29912805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9B3AF4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29912806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3" w:name="_Toc29912807"/>
      <w:r>
        <w:lastRenderedPageBreak/>
        <w:t>Poisson distribution</w:t>
      </w:r>
      <w:bookmarkEnd w:id="3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29912808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9B3AF4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2AA01321" w14:textId="77777777" w:rsidR="00483F8F" w:rsidRDefault="00483F8F" w:rsidP="00483F8F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A0AA530" w14:textId="77777777" w:rsidR="00483F8F" w:rsidRDefault="00483F8F" w:rsidP="00483F8F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29912809"/>
      <w:r>
        <w:t>Uniform distribution</w:t>
      </w:r>
      <w:bookmarkEnd w:id="5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29912810"/>
      <w:r>
        <w:t>Normal distribution</w:t>
      </w:r>
      <w:bookmarkEnd w:id="6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29912811"/>
      <w:r>
        <w:t>Some r</w:t>
      </w:r>
      <w:r w:rsidR="00933904">
        <w:t>emarks</w:t>
      </w:r>
      <w:bookmarkEnd w:id="7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020DCE7" w:rsidR="00933904" w:rsidRDefault="00933904">
      <w:pPr>
        <w:jc w:val="left"/>
      </w:pPr>
      <w:r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29912812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29912813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77777777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77777777" w:rsidR="005413F5" w:rsidRDefault="005413F5" w:rsidP="005413F5">
      <w:r>
        <w:t xml:space="preserve">With known cash income: </w:t>
      </w:r>
      <m:oMath>
        <m:r>
          <m:rPr>
            <m:sty m:val="p"/>
          </m:rP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77777777" w:rsidR="005413F5" w:rsidRDefault="005413F5" w:rsidP="005413F5">
      <w:r>
        <w:t xml:space="preserve">With known dividend yield: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77777777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29912814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7777777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77777777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6AD23FCB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7B52C056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m:rPr>
            <m:sty m:val="p"/>
          </m:rP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26B1A864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29912815"/>
      <w:r w:rsidRPr="00D36D4E">
        <w:t>Binomial tree</w:t>
      </w:r>
      <w:bookmarkEnd w:id="11"/>
    </w:p>
    <w:p w14:paraId="645E3BB4" w14:textId="77777777" w:rsidR="005413F5" w:rsidRDefault="005413F5" w:rsidP="005413F5">
      <w:r>
        <w:t xml:space="preserve">Risk neutral probability: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77777777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37CD6451" w14:textId="2DC6EDDA" w:rsidR="005413F5" w:rsidRDefault="005413F5">
      <w:pPr>
        <w:jc w:val="left"/>
      </w:pPr>
      <w:r>
        <w:br w:type="page"/>
      </w:r>
    </w:p>
    <w:p w14:paraId="439F91BF" w14:textId="2CC0EBB1" w:rsidR="005413F5" w:rsidRDefault="005413F5" w:rsidP="005413F5">
      <w:pPr>
        <w:pStyle w:val="Heading1"/>
      </w:pPr>
      <w:bookmarkStart w:id="12" w:name="_Toc29912816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2"/>
    </w:p>
    <w:p w14:paraId="66EFC4C9" w14:textId="77777777" w:rsidR="005413F5" w:rsidRPr="001B0942" w:rsidRDefault="005413F5" w:rsidP="005413F5">
      <w:pPr>
        <w:pStyle w:val="Heading2"/>
      </w:pPr>
      <w:bookmarkStart w:id="13" w:name="_Toc29912817"/>
      <w:r w:rsidRPr="001B0942">
        <w:rPr>
          <w:rFonts w:hint="eastAsia"/>
        </w:rPr>
        <w:t>B</w:t>
      </w:r>
      <w:r w:rsidRPr="001B0942">
        <w:t>rownian motion</w:t>
      </w:r>
      <w:bookmarkEnd w:id="13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7777777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77777777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9B3AF4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110B78CC" w14:textId="120DE303" w:rsidR="005413F5" w:rsidRDefault="008D4FCD" w:rsidP="005413F5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4" w:name="_Toc29912818"/>
      <w:r w:rsidRPr="0099142E">
        <w:rPr>
          <w:rFonts w:hint="eastAsia"/>
        </w:rPr>
        <w:t>S</w:t>
      </w:r>
      <w:r w:rsidRPr="0099142E">
        <w:t>tochastic integral</w:t>
      </w:r>
      <w:bookmarkEnd w:id="14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611DC69F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06F20C82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bookmarkStart w:id="15" w:name="_GoBack"/>
      <w:bookmarkEnd w:id="15"/>
    </w:p>
    <w:p w14:paraId="0ED67C65" w14:textId="16655B5E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</w:t>
      </w:r>
      <w:proofErr w:type="spellStart"/>
      <w:r>
        <w:t>Yau</w:t>
      </w:r>
      <w:proofErr w:type="spellEnd"/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lastRenderedPageBreak/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29912819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29912820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</w:t>
      </w:r>
      <w:proofErr w:type="spellStart"/>
      <w:r w:rsidR="00E7439D">
        <w:t>i.i.d</w:t>
      </w:r>
      <w:proofErr w:type="spellEnd"/>
      <w:r w:rsidR="00E7439D">
        <w:t xml:space="preserve">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</w:t>
      </w:r>
      <w:proofErr w:type="spellStart"/>
      <w:r w:rsidRPr="00504B73">
        <w:t>Lévy</w:t>
      </w:r>
      <w:proofErr w:type="spellEnd"/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29912821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7E41B35A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63B401C5" w14:textId="3261265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9B3AF4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29912822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7777777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628A1341" w14:textId="563E6469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21C83D24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29912823"/>
      <w:r>
        <w:lastRenderedPageBreak/>
        <w:t>Rejection sampling</w:t>
      </w:r>
      <w:bookmarkEnd w:id="20"/>
    </w:p>
    <w:p w14:paraId="35D99DD2" w14:textId="19332E7D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6508BDCB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r>
          <m:rPr>
            <m:sty m:val="p"/>
          </m:rPr>
          <w:rPr>
            <w:rFonts w:ascii="Cambria Math" w:hAnsi="Cambria Math"/>
          </w:rPr>
          <m:t>(0,1)</m:t>
        </m:r>
      </m:oMath>
    </w:p>
    <w:p w14:paraId="1B65F33C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29912824"/>
      <w:r>
        <w:lastRenderedPageBreak/>
        <w:t>V) Variance reduction</w:t>
      </w:r>
      <w:bookmarkEnd w:id="21"/>
    </w:p>
    <w:p w14:paraId="698552D9" w14:textId="5B48A846" w:rsidR="0079404D" w:rsidRDefault="0079404D" w:rsidP="00563ECE"/>
    <w:p w14:paraId="0D6C75FA" w14:textId="77777777" w:rsidR="0079404D" w:rsidRPr="00770259" w:rsidRDefault="0079404D" w:rsidP="00563ECE"/>
    <w:sectPr w:rsidR="0079404D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5B88A" w14:textId="77777777" w:rsidR="009B3AF4" w:rsidRDefault="009B3AF4" w:rsidP="00F92EE9">
      <w:pPr>
        <w:spacing w:after="0" w:line="240" w:lineRule="auto"/>
      </w:pPr>
      <w:r>
        <w:separator/>
      </w:r>
    </w:p>
  </w:endnote>
  <w:endnote w:type="continuationSeparator" w:id="0">
    <w:p w14:paraId="578579C0" w14:textId="77777777" w:rsidR="009B3AF4" w:rsidRDefault="009B3AF4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F2945" w14:textId="77777777" w:rsidR="009B3AF4" w:rsidRDefault="009B3AF4" w:rsidP="00F92EE9">
      <w:pPr>
        <w:spacing w:after="0" w:line="240" w:lineRule="auto"/>
      </w:pPr>
      <w:r>
        <w:separator/>
      </w:r>
    </w:p>
  </w:footnote>
  <w:footnote w:type="continuationSeparator" w:id="0">
    <w:p w14:paraId="1FB2AD20" w14:textId="77777777" w:rsidR="009B3AF4" w:rsidRDefault="009B3AF4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335DC8BE" w:rsidR="0087053E" w:rsidRDefault="0087053E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C57C8E"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5B4C"/>
    <w:rsid w:val="00107AD4"/>
    <w:rsid w:val="00145920"/>
    <w:rsid w:val="00161DCB"/>
    <w:rsid w:val="00163B1D"/>
    <w:rsid w:val="00183E24"/>
    <w:rsid w:val="001C61E5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B0AE2"/>
    <w:rsid w:val="003D23EF"/>
    <w:rsid w:val="003D31CD"/>
    <w:rsid w:val="003F0EF1"/>
    <w:rsid w:val="00417B11"/>
    <w:rsid w:val="0042410D"/>
    <w:rsid w:val="0043304B"/>
    <w:rsid w:val="00483F8F"/>
    <w:rsid w:val="00491BDC"/>
    <w:rsid w:val="00493737"/>
    <w:rsid w:val="004A75B3"/>
    <w:rsid w:val="004E4C8F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F7C1D"/>
    <w:rsid w:val="007006E8"/>
    <w:rsid w:val="007335A1"/>
    <w:rsid w:val="00765123"/>
    <w:rsid w:val="00770259"/>
    <w:rsid w:val="0077295E"/>
    <w:rsid w:val="00783ECF"/>
    <w:rsid w:val="00791938"/>
    <w:rsid w:val="0079404D"/>
    <w:rsid w:val="007A158C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91BDB"/>
    <w:rsid w:val="008942E2"/>
    <w:rsid w:val="008B0018"/>
    <w:rsid w:val="008B4F64"/>
    <w:rsid w:val="008C6E29"/>
    <w:rsid w:val="008D4FCD"/>
    <w:rsid w:val="00900E16"/>
    <w:rsid w:val="009100B7"/>
    <w:rsid w:val="00916CB3"/>
    <w:rsid w:val="00927EF1"/>
    <w:rsid w:val="00933904"/>
    <w:rsid w:val="0095207A"/>
    <w:rsid w:val="00954A9E"/>
    <w:rsid w:val="00955AFE"/>
    <w:rsid w:val="0097607A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7A8D"/>
    <w:rsid w:val="00C22371"/>
    <w:rsid w:val="00C57C8E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A6BDC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723BE-7FAA-40C6-A6B8-42B53C98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11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22</cp:revision>
  <cp:lastPrinted>2020-01-10T06:16:00Z</cp:lastPrinted>
  <dcterms:created xsi:type="dcterms:W3CDTF">2019-09-02T06:24:00Z</dcterms:created>
  <dcterms:modified xsi:type="dcterms:W3CDTF">2020-01-16T13:31:00Z</dcterms:modified>
</cp:coreProperties>
</file>