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764"/>
          <w:sz w:val="44"/>
          <w:szCs w:val="44"/>
        </w:rPr>
        <w:t xml:space="preserve">Hemanshi Mehta</w:t>
      </w:r>
    </w:p>
    <w:p>
      <w:pPr>
        <w:spacing w:line="288" w:lineRule="auto"/>
        <w:jc w:val="center"/>
      </w:pPr>
      <w:r>
        <w:rPr>
          <w:i/>
          <w:iCs/>
          <w:color w:val="404040"/>
          <w:sz w:val="21"/>
          <w:szCs w:val="21"/>
        </w:rPr>
        <w:t xml:space="preserve">Market Research | Consumer Insights | Brand Strategy</w:t>
      </w:r>
    </w:p>
    <w:p>
      <w:pPr>
        <w:spacing w:after="120" w:line="288" w:lineRule="auto"/>
        <w:jc w:val="center"/>
      </w:pPr>
      <w:r>
        <w:rPr>
          <w:color w:val="404040"/>
          <w:sz w:val="18"/>
          <w:szCs w:val="18"/>
        </w:rPr>
        <w:t xml:space="preserve">London, UK | +44 7879 761468 | hemanshimehta11@gmail.com | </w:t>
      </w:r>
      <w:hyperlink w:history="1" r:id="rIdfd9kzbmr9bgjps6qjedv8">
        <w:r>
          <w:rPr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color w:val="404040"/>
          <w:sz w:val="18"/>
          <w:szCs w:val="18"/>
        </w:rPr>
        <w:t xml:space="preserve"/>
      </w:r>
    </w:p>
    <w:p>
      <w:pPr>
        <w:pBdr>
          <w:bottom w:val="single" w:color="1F3864" w:sz="4" w:space="1"/>
        </w:pBdr>
        <w:tabs>
          <w:tab w:val="left" w:pos="360"/>
          <w:tab w:val="right" w:pos="10620"/>
        </w:tabs>
        <w:spacing w:after="100" w:before="160"/>
      </w:pPr>
      <w:r>
        <w:rPr>
          <w:b/>
          <w:bCs/>
          <w:color w:val="1F3864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Research Executive delivering consumer insight and brand strategy research across 15+ projects for 10+ global brands, spanning 10 international markets. Directly contributed to a published product launch (Comixit, developed with Beano) through qualitative research findings, and independently authored market summaries across 13 countries for a global fandom study. Recognised internally as the team's Recollective platform expert. Skilled across qualitative and quantitative methods, from discussion guide design through to client-facing reporting and strategic recommendations.</w:t>
      </w:r>
    </w:p>
    <w:p>
      <w:pPr>
        <w:pBdr>
          <w:bottom w:val="single" w:color="1F3864" w:sz="4" w:space="1"/>
        </w:pBdr>
        <w:tabs>
          <w:tab w:val="left" w:pos="360"/>
          <w:tab w:val="right" w:pos="10620"/>
        </w:tabs>
        <w:spacing w:after="100" w:before="160"/>
      </w:pPr>
      <w:r>
        <w:rPr>
          <w:b/>
          <w:bCs/>
          <w:color w:val="1F3864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Research Design &amp; Delivery: </w:t>
      </w:r>
      <w:r>
        <w:rPr>
          <w:sz w:val="20"/>
          <w:szCs w:val="20"/>
        </w:rPr>
        <w:t xml:space="preserve">Discussion Guides, Screeners, Survey Design, Multi-Methodology Research (Interviews, Focus Groups, Co-Creation, Surveys)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Platforms: </w:t>
      </w:r>
      <w:r>
        <w:rPr>
          <w:sz w:val="20"/>
          <w:szCs w:val="20"/>
        </w:rPr>
        <w:t xml:space="preserve">Recollective (Advanced, In-House Expert), Qumind (Survey Scripting, Logic, Quotas), Qualtrics, SurveyMonkey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Analysis &amp; Reporting: </w:t>
      </w:r>
      <w:r>
        <w:rPr>
          <w:sz w:val="20"/>
          <w:szCs w:val="20"/>
        </w:rPr>
        <w:t xml:space="preserve">Qualitative and Quantitative Analysis, Client Reporting, Insight Synthesis, Excel (Pivot Tables, Formulas, Data Cleaning)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Client &amp; Stakeholder Management: </w:t>
      </w:r>
      <w:r>
        <w:rPr>
          <w:sz w:val="20"/>
          <w:szCs w:val="20"/>
        </w:rPr>
        <w:t xml:space="preserve">Senior Stakeholder Presentations, New Business Pitches and Proposals, Recruitment Management</w:t>
      </w:r>
    </w:p>
    <w:p>
      <w:pPr>
        <w:pBdr>
          <w:bottom w:val="single" w:color="1F3864" w:sz="4" w:space="1"/>
        </w:pBdr>
        <w:tabs>
          <w:tab w:val="left" w:pos="360"/>
          <w:tab w:val="right" w:pos="10620"/>
        </w:tabs>
        <w:spacing w:after="100" w:before="160"/>
      </w:pPr>
      <w:r>
        <w:rPr>
          <w:b/>
          <w:bCs/>
          <w:color w:val="1F3864"/>
        </w:rPr>
        <w:t xml:space="preserve">PROFESSIONAL EXPERIENCE</w:t>
      </w:r>
    </w:p>
    <w:p>
      <w:pPr>
        <w:tabs>
          <w:tab w:val="right" w:pos="10620"/>
        </w:tabs>
        <w:spacing w:before="120"/>
      </w:pPr>
      <w:r>
        <w:rPr>
          <w:b/>
          <w:bCs/>
          <w:sz w:val="20"/>
          <w:szCs w:val="20"/>
        </w:rPr>
        <w:t xml:space="preserve">Kids Industries</w:t>
      </w:r>
      <w:r>
        <w:rPr>
          <w:b/>
          <w:bCs/>
          <w:sz w:val="20"/>
          <w:szCs w:val="20"/>
        </w:rPr>
        <w:t xml:space="preserve">	London, UK</w:t>
      </w:r>
    </w:p>
    <w:p>
      <w:pPr>
        <w:tabs>
          <w:tab w:val="right" w:pos="10620"/>
        </w:tabs>
        <w:spacing w:after="60"/>
      </w:pPr>
      <w:r>
        <w:rPr>
          <w:i/>
          <w:iCs/>
          <w:sz w:val="20"/>
          <w:szCs w:val="20"/>
        </w:rPr>
        <w:t xml:space="preserve">Research Executive</w:t>
      </w:r>
      <w:r>
        <w:rPr>
          <w:i/>
          <w:iCs/>
          <w:sz w:val="20"/>
          <w:szCs w:val="20"/>
        </w:rPr>
        <w:t xml:space="preserve">	Apr 2025 -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 consumer insight and brand strategy research for 10+ global brands, including LEGO, Danone, Tonies and Pokemon, across 15+ projects in 10 international markets.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Independently manage qualitative recruitment end to end, from screener development and recruiter briefing through to profile review and session setup, across 2 to 4 concurrent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 and deliver research materials, including discussion guides, screeners and surveys, spanning methodologies such as interviews, focus groups, surveys and co-creation sessions.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Analyse qualitative and quantitative data using 10+ platforms, including Recollective and Qumind, synthesising findings into clear, client-ready reports.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the research design, analysis and reporting behind Comixit, a children's app publicly launched with Beano and cited in trade press, from a 20-participant study across 5 friendship groups.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Independently authored market summaries across 13 countries (1,500 to 11,000 respondents), translating survey findings into market-specific positioning recommendations that informed the brand's global repositioning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Identified the engagement and disengagement drivers behind 22 respondents' viewing behaviour for a children's TV format, informing Season 2 changes to presenter delivery style.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Recognised internally as the team's Recollective platform expert, independently programming qualitative studies and supporting online research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new-business pitches through desk research and RFQ development, helping secure a year-round client retainer of 6 to 7 projects annually.</w:t>
      </w:r>
    </w:p>
    <w:p>
      <w:pPr>
        <w:tabs>
          <w:tab w:val="right" w:pos="10620"/>
        </w:tabs>
        <w:spacing w:before="120"/>
      </w:pPr>
      <w:r>
        <w:rPr>
          <w:b/>
          <w:bCs/>
          <w:sz w:val="20"/>
          <w:szCs w:val="20"/>
        </w:rPr>
        <w:t xml:space="preserve">Queen Mary University of London</w:t>
      </w:r>
      <w:r>
        <w:rPr>
          <w:b/>
          <w:bCs/>
          <w:sz w:val="20"/>
          <w:szCs w:val="20"/>
        </w:rPr>
        <w:t xml:space="preserve">	London, UK</w:t>
      </w:r>
    </w:p>
    <w:p>
      <w:pPr>
        <w:tabs>
          <w:tab w:val="right" w:pos="10620"/>
        </w:tabs>
        <w:spacing w:after="60"/>
      </w:pPr>
      <w:r>
        <w:rPr>
          <w:i/>
          <w:iCs/>
          <w:sz w:val="20"/>
          <w:szCs w:val="20"/>
        </w:rPr>
        <w:t xml:space="preserve">Research Assistant, Wolfson Institute of Population Health (APPLE-TREE Study)</w:t>
      </w:r>
      <w:r>
        <w:rPr>
          <w:i/>
          <w:iCs/>
          <w:sz w:val="20"/>
          <w:szCs w:val="20"/>
        </w:rPr>
        <w:t xml:space="preserve">	Jan 2024 - 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Maintained 100% data accuracy and cut entry errors by 30% on a live dementia-prevention study, administering the Neuropsychological Test Battery with 20+ older adults.</w:t>
      </w:r>
    </w:p>
    <w:p>
      <w:pPr>
        <w:tabs>
          <w:tab w:val="right" w:pos="10620"/>
        </w:tabs>
        <w:spacing w:before="120"/>
      </w:pPr>
      <w:r>
        <w:rPr>
          <w:b/>
          <w:bCs/>
          <w:sz w:val="20"/>
          <w:szCs w:val="20"/>
        </w:rPr>
        <w:t xml:space="preserve">Tower Hamlets Memory Clinic, East London NHS Foundation Trust</w:t>
      </w:r>
      <w:r>
        <w:rPr>
          <w:b/>
          <w:bCs/>
          <w:sz w:val="20"/>
          <w:szCs w:val="20"/>
        </w:rPr>
        <w:t xml:space="preserve">	London, UK</w:t>
      </w:r>
    </w:p>
    <w:p>
      <w:pPr>
        <w:tabs>
          <w:tab w:val="right" w:pos="10620"/>
        </w:tabs>
        <w:spacing w:after="60"/>
      </w:pPr>
      <w:r>
        <w:rPr>
          <w:i/>
          <w:iCs/>
          <w:sz w:val="20"/>
          <w:szCs w:val="20"/>
        </w:rPr>
        <w:t xml:space="preserve">Clinical Placement</w:t>
      </w:r>
      <w:r>
        <w:rPr>
          <w:i/>
          <w:iCs/>
          <w:sz w:val="20"/>
          <w:szCs w:val="20"/>
        </w:rPr>
        <w:t xml:space="preserve">	Dec 2023 - 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Cut assessment time by 25% on the NHS dementia diagnostic pathway, facilitating a clinical audit and presenting findings to clinicians at workshops and conferences.</w:t>
      </w:r>
    </w:p>
    <w:p>
      <w:pPr>
        <w:tabs>
          <w:tab w:val="right" w:pos="10620"/>
        </w:tabs>
        <w:spacing w:before="120"/>
      </w:pPr>
      <w:r>
        <w:rPr>
          <w:b/>
          <w:bCs/>
          <w:sz w:val="20"/>
          <w:szCs w:val="20"/>
        </w:rPr>
        <w:t xml:space="preserve">Inforens</w:t>
      </w:r>
      <w:r>
        <w:rPr>
          <w:b/>
          <w:bCs/>
          <w:sz w:val="20"/>
          <w:szCs w:val="20"/>
        </w:rPr>
        <w:t xml:space="preserve">	Remote</w:t>
      </w:r>
    </w:p>
    <w:p>
      <w:pPr>
        <w:tabs>
          <w:tab w:val="right" w:pos="10620"/>
        </w:tabs>
        <w:spacing w:after="60"/>
      </w:pPr>
      <w:r>
        <w:rPr>
          <w:i/>
          <w:iCs/>
          <w:sz w:val="20"/>
          <w:szCs w:val="20"/>
        </w:rPr>
        <w:t xml:space="preserve">Research Analyst</w:t>
      </w:r>
      <w:r>
        <w:rPr>
          <w:i/>
          <w:iCs/>
          <w:sz w:val="20"/>
          <w:szCs w:val="20"/>
        </w:rPr>
        <w:t xml:space="preserve">	Aug 2023 - Sep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Analysed 200+ survey responses on the needs and barriers facing prospective international students, combining quantitative pattern analysis with Braun and Clarke thematic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Reshaped the platform's student-mentor matching model through an adopted recommendation for 1:1 peer mentoring based on the research findings.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Contributed to successful grant applications, including Innovate UK and Barclays Eagle Labs.</w:t>
      </w:r>
    </w:p>
    <w:p>
      <w:pPr>
        <w:pBdr>
          <w:bottom w:val="single" w:color="1F3864" w:sz="4" w:space="1"/>
        </w:pBdr>
        <w:tabs>
          <w:tab w:val="left" w:pos="360"/>
          <w:tab w:val="right" w:pos="10620"/>
        </w:tabs>
        <w:spacing w:after="100" w:before="160"/>
      </w:pPr>
      <w:r>
        <w:rPr>
          <w:b/>
          <w:bCs/>
          <w:color w:val="1F3864"/>
        </w:rPr>
        <w:t xml:space="preserve">EDUCATION</w:t>
      </w:r>
    </w:p>
    <w:p>
      <w:pPr>
        <w:tabs>
          <w:tab w:val="right" w:pos="10620"/>
        </w:tabs>
        <w:spacing w:before="120"/>
      </w:pPr>
      <w:r>
        <w:rPr>
          <w:b/>
          <w:bCs/>
          <w:sz w:val="20"/>
          <w:szCs w:val="20"/>
        </w:rPr>
        <w:t xml:space="preserve">University College London</w:t>
      </w:r>
      <w:r>
        <w:rPr>
          <w:b/>
          <w:bCs/>
          <w:sz w:val="20"/>
          <w:szCs w:val="20"/>
        </w:rPr>
        <w:t xml:space="preserve">	London, UK</w:t>
      </w:r>
    </w:p>
    <w:p>
      <w:pPr>
        <w:tabs>
          <w:tab w:val="right" w:pos="10620"/>
        </w:tabs>
        <w:spacing w:after="60"/>
      </w:pPr>
      <w:r>
        <w:rPr>
          <w:i/>
          <w:iCs/>
          <w:sz w:val="20"/>
          <w:szCs w:val="20"/>
        </w:rPr>
        <w:t xml:space="preserve">MSc Clinical Mental Health Sciences, Distinction</w:t>
      </w:r>
      <w:r>
        <w:rPr>
          <w:i/>
          <w:iCs/>
          <w:sz w:val="20"/>
          <w:szCs w:val="20"/>
        </w:rPr>
        <w:t xml:space="preserve">	Sep 2023 - Sep 2024</w:t>
      </w:r>
    </w:p>
    <w:p>
      <w:pPr>
        <w:tabs>
          <w:tab w:val="right" w:pos="10620"/>
        </w:tabs>
        <w:spacing w:before="120"/>
      </w:pPr>
      <w:r>
        <w:rPr>
          <w:b/>
          <w:bCs/>
          <w:sz w:val="20"/>
          <w:szCs w:val="20"/>
        </w:rPr>
        <w:t xml:space="preserve">University of Delhi</w:t>
      </w:r>
      <w:r>
        <w:rPr>
          <w:b/>
          <w:bCs/>
          <w:sz w:val="20"/>
          <w:szCs w:val="20"/>
        </w:rPr>
        <w:t xml:space="preserve">	Delhi, India</w:t>
      </w:r>
    </w:p>
    <w:p>
      <w:pPr>
        <w:tabs>
          <w:tab w:val="right" w:pos="10620"/>
        </w:tabs>
        <w:spacing w:after="60"/>
      </w:pPr>
      <w:r>
        <w:rPr>
          <w:i/>
          <w:iCs/>
          <w:sz w:val="20"/>
          <w:szCs w:val="20"/>
        </w:rPr>
        <w:t xml:space="preserve">BA Psychology, Distinction</w:t>
      </w:r>
      <w:r>
        <w:rPr>
          <w:i/>
          <w:iCs/>
          <w:sz w:val="20"/>
          <w:szCs w:val="20"/>
        </w:rPr>
        <w:t xml:space="preserve">	Nov 2020 - May 2023</w:t>
      </w:r>
    </w:p>
    <w:p>
      <w:pPr>
        <w:pBdr>
          <w:bottom w:val="single" w:color="1F3864" w:sz="4" w:space="1"/>
        </w:pBdr>
        <w:tabs>
          <w:tab w:val="left" w:pos="360"/>
          <w:tab w:val="right" w:pos="10620"/>
        </w:tabs>
        <w:spacing w:after="100" w:before="160"/>
      </w:pPr>
      <w:r>
        <w:rPr>
          <w:b/>
          <w:bCs/>
          <w:color w:val="1F3864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Certifications: Good Clinical Practice, Social &amp; Behavioural Research, Health Information Privacy and Security, GDPR Training, Conflicts of Interest.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Languages: English (Native), Hindi (Native).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d9kzbmr9bgjps6qjedv8" Type="http://schemas.openxmlformats.org/officeDocument/2006/relationships/hyperlink" Target="https://www.linkedin.com/in/hemanshi-mehta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2026-08-22T10:25:37.103Z</dcterms:created>
  <dcterms:modified xsi:type="dcterms:W3CDTF">2026-08-22T10:25:37.103Z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