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nual-de-políticas-corporativas"/>
    <w:p>
      <w:pPr>
        <w:pStyle w:val="Heading1"/>
      </w:pPr>
      <w:r>
        <w:t xml:space="preserve">Manual de Políticas Corporativas</w:t>
      </w:r>
    </w:p>
    <w:p>
      <w:pPr>
        <w:pStyle w:val="FirstParagraph"/>
      </w:pPr>
      <w:r>
        <w:rPr>
          <w:b/>
          <w:bCs/>
        </w:rPr>
        <w:t xml:space="preserve">Empresa:</w:t>
      </w:r>
      <w:r>
        <w:t xml:space="preserve"> </w:t>
      </w:r>
      <w:r>
        <w:t xml:space="preserve">Grupo Andina S.A. (en adelante,</w:t>
      </w:r>
      <w:r>
        <w:t xml:space="preserve"> </w:t>
      </w:r>
      <w:r>
        <w:t xml:space="preserve">“la Empresa”</w:t>
      </w:r>
      <w:r>
        <w:t xml:space="preserve">)</w:t>
      </w:r>
      <w:r>
        <w:br/>
      </w:r>
      <w:r>
        <w:rPr>
          <w:b/>
          <w:bCs/>
        </w:rPr>
        <w:t xml:space="preserve">NIT:</w:t>
      </w:r>
      <w:r>
        <w:t xml:space="preserve"> </w:t>
      </w:r>
      <w:r>
        <w:t xml:space="preserve">900.123.456-7 (ficticio)</w:t>
      </w:r>
      <w:r>
        <w:br/>
      </w:r>
      <w:r>
        <w:rPr>
          <w:b/>
          <w:bCs/>
        </w:rPr>
        <w:t xml:space="preserve">Dirección Principal:</w:t>
      </w:r>
      <w:r>
        <w:t xml:space="preserve"> </w:t>
      </w:r>
      <w:r>
        <w:t xml:space="preserve">Calle 100 #10-50, Bogotá D.C., Colombia</w:t>
      </w:r>
      <w:r>
        <w:br/>
      </w:r>
      <w:r>
        <w:rPr>
          <w:b/>
          <w:bCs/>
        </w:rPr>
        <w:t xml:space="preserve">Teléfono:</w:t>
      </w:r>
      <w:r>
        <w:t xml:space="preserve"> </w:t>
      </w:r>
      <w:r>
        <w:t xml:space="preserve">+57 1 600 1234</w:t>
      </w:r>
      <w:r>
        <w:br/>
      </w:r>
      <w:r>
        <w:rPr>
          <w:b/>
          <w:bCs/>
        </w:rPr>
        <w:t xml:space="preserve">Correo Corporativo:</w:t>
      </w:r>
      <w:r>
        <w:t xml:space="preserve"> </w:t>
      </w:r>
      <w:r>
        <w:t xml:space="preserve">contacto@grupoandina.com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Fecha de emisión:</w:t>
      </w:r>
      <w:r>
        <w:t xml:space="preserve"> </w:t>
      </w:r>
      <w:r>
        <w:t xml:space="preserve">24 de septiembre de 2025</w:t>
      </w:r>
    </w:p>
    <w:p>
      <w:r>
        <w:pict>
          <v:rect style="width:0;height:1.5pt" o:hralign="center" o:hrstd="t" o:hr="t"/>
        </w:pict>
      </w:r>
    </w:p>
    <w:bookmarkEnd w:id="20"/>
    <w:bookmarkStart w:id="25" w:name="presentación-y-objetivo-del-manual"/>
    <w:p>
      <w:pPr>
        <w:pStyle w:val="Heading1"/>
      </w:pPr>
      <w:r>
        <w:t xml:space="preserve">1. Presentación y Objetivo del Manual</w:t>
      </w:r>
    </w:p>
    <w:bookmarkStart w:id="21" w:name="propósito"/>
    <w:p>
      <w:pPr>
        <w:pStyle w:val="Heading2"/>
      </w:pPr>
      <w:r>
        <w:t xml:space="preserve">1.1 Propósito</w:t>
      </w:r>
    </w:p>
    <w:p>
      <w:pPr>
        <w:pStyle w:val="FirstParagraph"/>
      </w:pPr>
      <w:r>
        <w:t xml:space="preserve">Este Manual de Políticas Corporativas establece las normas, lineamientos, procedimientos y responsabilidades que rigen el comportamiento, las operaciones y la toma de decisiones en Grupo Andina S.A. Su propósito es asegurar coherencia, legalidad, ética y eficiencia en todas las actividades desarrolladas por la Empresa.</w:t>
      </w:r>
    </w:p>
    <w:bookmarkEnd w:id="21"/>
    <w:bookmarkStart w:id="22" w:name="alcance-y-aplicabilidad"/>
    <w:p>
      <w:pPr>
        <w:pStyle w:val="Heading2"/>
      </w:pPr>
      <w:r>
        <w:t xml:space="preserve">1.2 Alcance y Aplicabilidad</w:t>
      </w:r>
    </w:p>
    <w:p>
      <w:pPr>
        <w:pStyle w:val="FirstParagraph"/>
      </w:pPr>
      <w:r>
        <w:t xml:space="preserve">Aplica a todos los miembros de Grupo Andina S.A.: empleados de planta, contratistas, consultores, becarios, pasantes, practicantes, miembros del Consejo de Administración, directivos y terceros que prestan servicios bajo contrato con la Empresa, tanto en la sede principal como en sucursales y representaciones dentro y fuera del país.</w:t>
      </w:r>
    </w:p>
    <w:bookmarkEnd w:id="22"/>
    <w:bookmarkStart w:id="23" w:name="obligaciones-generales"/>
    <w:p>
      <w:pPr>
        <w:pStyle w:val="Heading2"/>
      </w:pPr>
      <w:r>
        <w:t xml:space="preserve">1.3 Obligaciones generales</w:t>
      </w:r>
    </w:p>
    <w:p>
      <w:pPr>
        <w:pStyle w:val="FirstParagraph"/>
      </w:pPr>
      <w:r>
        <w:t xml:space="preserve">Los destinatarios del manual deben:</w:t>
      </w:r>
      <w:r>
        <w:t xml:space="preserve"> </w:t>
      </w:r>
      <w:r>
        <w:t xml:space="preserve">- Conocer y cumplir las políticas contenidas en este documento.</w:t>
      </w:r>
      <w:r>
        <w:t xml:space="preserve"> </w:t>
      </w:r>
      <w:r>
        <w:t xml:space="preserve">- Firmar el acta de recepción cuando se les entregue el manual o cuando hayan sido contratados.</w:t>
      </w:r>
      <w:r>
        <w:t xml:space="preserve"> </w:t>
      </w:r>
      <w:r>
        <w:t xml:space="preserve">- Reportar cualquier duda, incumplimiento o situación que ponga en riesgo la integridad de la Empresa a través de los canales establecidos.</w:t>
      </w:r>
    </w:p>
    <w:bookmarkEnd w:id="23"/>
    <w:bookmarkStart w:id="24" w:name="X00ef2ec5ddd25ec6cbafb45fb2085ada916636c"/>
    <w:p>
      <w:pPr>
        <w:pStyle w:val="Heading2"/>
      </w:pPr>
      <w:r>
        <w:t xml:space="preserve">1.4 Responsables de la administración del Manual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Director de Cumplimiento:</w:t>
      </w:r>
      <w:r>
        <w:t xml:space="preserve"> </w:t>
      </w:r>
      <w:r>
        <w:t xml:space="preserve">responsable de la administración general, interpretación y actualización del Manual.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Recursos Humanos (RR.HH.):</w:t>
      </w:r>
      <w:r>
        <w:t xml:space="preserve"> </w:t>
      </w:r>
      <w:r>
        <w:t xml:space="preserve">responsable de la difusión y formación relacionada con políticas de personal.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Gerencias funcionales:</w:t>
      </w:r>
      <w:r>
        <w:t xml:space="preserve"> </w:t>
      </w:r>
      <w:r>
        <w:t xml:space="preserve">responsables de la implementación y cumplimiento en su área.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misión-visión-y-valores-corporativos"/>
    <w:p>
      <w:pPr>
        <w:pStyle w:val="Heading1"/>
      </w:pPr>
      <w:r>
        <w:t xml:space="preserve">2. Misión, Visión y Valores Corporativos</w:t>
      </w:r>
    </w:p>
    <w:bookmarkStart w:id="26" w:name="misión"/>
    <w:p>
      <w:pPr>
        <w:pStyle w:val="Heading2"/>
      </w:pPr>
      <w:r>
        <w:t xml:space="preserve">2.1 Misión</w:t>
      </w:r>
    </w:p>
    <w:p>
      <w:pPr>
        <w:pStyle w:val="FirstParagraph"/>
      </w:pPr>
      <w:r>
        <w:t xml:space="preserve">Ser una compañía colombiana líder en soluciones integradas de energía y tecnología, generando valor sostenible para clientes, colaboradores, accionistas y comunidades mediante innovación, eficiencia y responsabilidad social.</w:t>
      </w:r>
    </w:p>
    <w:bookmarkEnd w:id="26"/>
    <w:bookmarkStart w:id="27" w:name="visión-2030"/>
    <w:p>
      <w:pPr>
        <w:pStyle w:val="Heading2"/>
      </w:pPr>
      <w:r>
        <w:t xml:space="preserve">2.2 Visión (2030)</w:t>
      </w:r>
    </w:p>
    <w:p>
      <w:pPr>
        <w:pStyle w:val="FirstParagraph"/>
      </w:pPr>
      <w:r>
        <w:t xml:space="preserve">Ser reconocida a nivel regional como referente en transformación energética y digital, impulsando proyectos que contribuyan al desarrollo sostenible de Latinoamérica.</w:t>
      </w:r>
    </w:p>
    <w:bookmarkEnd w:id="27"/>
    <w:bookmarkStart w:id="28" w:name="valores"/>
    <w:p>
      <w:pPr>
        <w:pStyle w:val="Heading2"/>
      </w:pPr>
      <w:r>
        <w:t xml:space="preserve">2.3 Valores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Integridad:</w:t>
      </w:r>
      <w:r>
        <w:t xml:space="preserve"> </w:t>
      </w:r>
      <w:r>
        <w:t xml:space="preserve">actuar con honestidad y transparencia en todas las relaciones.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Respeto:</w:t>
      </w:r>
      <w:r>
        <w:t xml:space="preserve"> </w:t>
      </w:r>
      <w:r>
        <w:t xml:space="preserve">valorar la dignidad de las personas y la diversidad.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Excelencia:</w:t>
      </w:r>
      <w:r>
        <w:t xml:space="preserve"> </w:t>
      </w:r>
      <w:r>
        <w:t xml:space="preserve">buscar la mejora continua en procesos y resultados.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compromiso con el cuidado ambiental y las comunidades.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Innovación:</w:t>
      </w:r>
      <w:r>
        <w:t xml:space="preserve"> </w:t>
      </w:r>
      <w:r>
        <w:t xml:space="preserve">fomentar la creatividad y la adaptación tecnológica.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código-de-ética-y-conducta"/>
    <w:p>
      <w:pPr>
        <w:pStyle w:val="Heading1"/>
      </w:pPr>
      <w:r>
        <w:t xml:space="preserve">3. Código de Ética y Conducta</w:t>
      </w:r>
    </w:p>
    <w:bookmarkStart w:id="30" w:name="principios-generales"/>
    <w:p>
      <w:pPr>
        <w:pStyle w:val="Heading2"/>
      </w:pPr>
      <w:r>
        <w:t xml:space="preserve">3.1 Principios generales</w:t>
      </w:r>
    </w:p>
    <w:p>
      <w:pPr>
        <w:pStyle w:val="FirstParagraph"/>
      </w:pPr>
      <w:r>
        <w:t xml:space="preserve">Todo colaborador debe actuar conforme a los valores de la Empresa, evitando conductas que dañen su reputación o la de terceros.</w:t>
      </w:r>
    </w:p>
    <w:bookmarkEnd w:id="30"/>
    <w:bookmarkStart w:id="31" w:name="conductas-prohibidas"/>
    <w:p>
      <w:pPr>
        <w:pStyle w:val="Heading2"/>
      </w:pPr>
      <w:r>
        <w:t xml:space="preserve">3.2 Conductas prohibidas</w:t>
      </w:r>
    </w:p>
    <w:p>
      <w:pPr>
        <w:pStyle w:val="Compact"/>
        <w:numPr>
          <w:ilvl w:val="0"/>
          <w:numId w:val="1003"/>
        </w:numPr>
      </w:pPr>
      <w:r>
        <w:t xml:space="preserve">Soborno, cohecho o facilidades indebidas a funcionarios públicos o privados.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Fraude, malversación o manipulación de información financiera.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Acoso laboral, sexual o discriminatorio.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Divulgación no autorizada de información confidencial.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Uso ilícito de activos de la Empresa.</w:t>
      </w:r>
    </w:p>
    <w:bookmarkEnd w:id="31"/>
    <w:bookmarkStart w:id="32" w:name="confidencialidad-y-protección-de-datos"/>
    <w:p>
      <w:pPr>
        <w:pStyle w:val="Heading2"/>
      </w:pPr>
      <w:r>
        <w:t xml:space="preserve">3.3 Confidencialidad y protección de datos</w:t>
      </w:r>
    </w:p>
    <w:p>
      <w:pPr>
        <w:pStyle w:val="FirstParagraph"/>
      </w:pPr>
      <w:r>
        <w:t xml:space="preserve">Definición de información confidencial (clientes, proveedores, estrategias, precios, modelos, etc.). Obligación de protegerla durante y después de la relación laboral.</w:t>
      </w:r>
    </w:p>
    <w:bookmarkEnd w:id="32"/>
    <w:bookmarkStart w:id="33" w:name="canal-de-denuncias"/>
    <w:p>
      <w:pPr>
        <w:pStyle w:val="Heading2"/>
      </w:pPr>
      <w:r>
        <w:t xml:space="preserve">3.4 Canal de denuncias</w:t>
      </w:r>
    </w:p>
    <w:p>
      <w:pPr>
        <w:pStyle w:val="Compact"/>
        <w:numPr>
          <w:ilvl w:val="0"/>
          <w:numId w:val="1004"/>
        </w:numPr>
      </w:pPr>
      <w:r>
        <w:t xml:space="preserve">Canal anónimo y confidencial habilitado (línea telefónica, correo, portal web).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Procedimiento de recepción, investigación, protección al denunciante y sanciones.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Plazo máximo para inicio de investigación: 5 días hábiles desde la recepción de la denuncia.</w:t>
      </w:r>
    </w:p>
    <w:bookmarkEnd w:id="33"/>
    <w:bookmarkStart w:id="34" w:name="sanciones"/>
    <w:p>
      <w:pPr>
        <w:pStyle w:val="Heading2"/>
      </w:pPr>
      <w:r>
        <w:t xml:space="preserve">3.5 Sanciones</w:t>
      </w:r>
    </w:p>
    <w:p>
      <w:pPr>
        <w:pStyle w:val="FirstParagraph"/>
      </w:pPr>
      <w:r>
        <w:t xml:space="preserve">Escala de sanciones: aviso verbal, amonestación escrita, suspensión, terminación del contrato, acción legal según gravedad.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54" w:name="políticas-de-recursos-humanos"/>
    <w:p>
      <w:pPr>
        <w:pStyle w:val="Heading1"/>
      </w:pPr>
      <w:r>
        <w:t xml:space="preserve">4. Políticas de Recursos Humanos</w:t>
      </w:r>
    </w:p>
    <w:bookmarkStart w:id="39" w:name="reclutamiento-y-selección"/>
    <w:p>
      <w:pPr>
        <w:pStyle w:val="Heading2"/>
      </w:pPr>
      <w:r>
        <w:t xml:space="preserve">4.1 Reclutamiento y Selección</w:t>
      </w:r>
    </w:p>
    <w:bookmarkStart w:id="36" w:name="principios"/>
    <w:p>
      <w:pPr>
        <w:pStyle w:val="Heading3"/>
      </w:pPr>
      <w:r>
        <w:t xml:space="preserve">4.1.1 Principios</w:t>
      </w:r>
    </w:p>
    <w:p>
      <w:pPr>
        <w:pStyle w:val="FirstParagraph"/>
      </w:pPr>
      <w:r>
        <w:t xml:space="preserve">Procesos transparentes, basados en mérito y competencias, no discriminatorios y con criterios objetivos.</w:t>
      </w:r>
    </w:p>
    <w:bookmarkEnd w:id="36"/>
    <w:bookmarkStart w:id="37" w:name="procedimiento"/>
    <w:p>
      <w:pPr>
        <w:pStyle w:val="Heading3"/>
      </w:pPr>
      <w:r>
        <w:t xml:space="preserve">4.1.2 Procedimiento</w:t>
      </w:r>
    </w:p>
    <w:p>
      <w:pPr>
        <w:pStyle w:val="Compact"/>
        <w:numPr>
          <w:ilvl w:val="0"/>
          <w:numId w:val="1005"/>
        </w:numPr>
      </w:pPr>
      <w:r>
        <w:t xml:space="preserve">Publicación de vacantes internas y/o externas.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Recepción de hojas de vida y preselección por competencias.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Entrevistas estructuradas y pruebas técnicas/psicométricas cuando aplique.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Verificación de referencias laborales y antecedentes judiciales (con consentimiento).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Oferta formal y firma de contrato.</w:t>
      </w:r>
    </w:p>
    <w:bookmarkEnd w:id="37"/>
    <w:bookmarkStart w:id="38" w:name="responsabilidades"/>
    <w:p>
      <w:pPr>
        <w:pStyle w:val="Heading3"/>
      </w:pPr>
      <w:r>
        <w:t xml:space="preserve">4.1.3 Responsabilidades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Jefe de Talento Humano:</w:t>
      </w:r>
      <w:r>
        <w:t xml:space="preserve"> </w:t>
      </w:r>
      <w:r>
        <w:t xml:space="preserve">publicar vacantes, coordinar evaluaciones.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Jefe de área:</w:t>
      </w:r>
      <w:r>
        <w:t xml:space="preserve"> </w:t>
      </w:r>
      <w:r>
        <w:t xml:space="preserve">definir perfil y participar en entrevistas.</w:t>
      </w:r>
    </w:p>
    <w:bookmarkEnd w:id="38"/>
    <w:bookmarkEnd w:id="39"/>
    <w:bookmarkStart w:id="43" w:name="contratación"/>
    <w:p>
      <w:pPr>
        <w:pStyle w:val="Heading2"/>
      </w:pPr>
      <w:r>
        <w:t xml:space="preserve">4.2 Contratación</w:t>
      </w:r>
    </w:p>
    <w:bookmarkStart w:id="40" w:name="tipos-de-contratación"/>
    <w:p>
      <w:pPr>
        <w:pStyle w:val="Heading3"/>
      </w:pPr>
      <w:r>
        <w:t xml:space="preserve">4.2.1 Tipos de contratación</w:t>
      </w:r>
    </w:p>
    <w:p>
      <w:pPr>
        <w:pStyle w:val="FirstParagraph"/>
      </w:pPr>
      <w:r>
        <w:t xml:space="preserve">La Empresa emplea: contrato a término indefinido, a término fijo, contratos por obra o labor, contratos de prestación de servicios y contratos de aprendizaje conforme a la legislación colombiana.</w:t>
      </w:r>
    </w:p>
    <w:bookmarkEnd w:id="40"/>
    <w:bookmarkStart w:id="41" w:name="documentación-mínima-requerida"/>
    <w:p>
      <w:pPr>
        <w:pStyle w:val="Heading3"/>
      </w:pPr>
      <w:r>
        <w:t xml:space="preserve">4.2.2 Documentación mínima requerida</w:t>
      </w:r>
    </w:p>
    <w:p>
      <w:pPr>
        <w:pStyle w:val="FirstParagraph"/>
      </w:pPr>
      <w:r>
        <w:t xml:space="preserve">Cédula o cédula de extranjería, certificados de estudios, referencias laborales, paz y salvo por seguridad social en contrataciones bajo modalidad que lo requieran.</w:t>
      </w:r>
    </w:p>
    <w:bookmarkEnd w:id="41"/>
    <w:bookmarkStart w:id="42" w:name="periodo-de-prueba-y-pólizas"/>
    <w:p>
      <w:pPr>
        <w:pStyle w:val="Heading3"/>
      </w:pPr>
      <w:r>
        <w:t xml:space="preserve">4.2.3 Periodo de prueba y pólizas</w:t>
      </w:r>
    </w:p>
    <w:p>
      <w:pPr>
        <w:pStyle w:val="FirstParagraph"/>
      </w:pPr>
      <w:r>
        <w:t xml:space="preserve">Establecimiento de periodos de prueba (máximo lo permitido por la ley), y afiliación a seguridad social y riesgos laborales desde el primer día hábil.</w:t>
      </w:r>
    </w:p>
    <w:bookmarkEnd w:id="42"/>
    <w:bookmarkEnd w:id="43"/>
    <w:bookmarkStart w:id="46" w:name="capacitación-y-desarrollo"/>
    <w:p>
      <w:pPr>
        <w:pStyle w:val="Heading2"/>
      </w:pPr>
      <w:r>
        <w:t xml:space="preserve">4.3 Capacitación y Desarrollo</w:t>
      </w:r>
    </w:p>
    <w:bookmarkStart w:id="44" w:name="política-general"/>
    <w:p>
      <w:pPr>
        <w:pStyle w:val="Heading3"/>
      </w:pPr>
      <w:r>
        <w:t xml:space="preserve">4.3.1 Política general</w:t>
      </w:r>
    </w:p>
    <w:p>
      <w:pPr>
        <w:pStyle w:val="FirstParagraph"/>
      </w:pPr>
      <w:r>
        <w:t xml:space="preserve">Desarrollo continuo basado en necesidades por cargo y plan anual de formación. Formación obligatoria inicial en ética, seguridad y protección de datos.</w:t>
      </w:r>
    </w:p>
    <w:bookmarkEnd w:id="44"/>
    <w:bookmarkStart w:id="45" w:name="presupuesto-y-evaluación"/>
    <w:p>
      <w:pPr>
        <w:pStyle w:val="Heading3"/>
      </w:pPr>
      <w:r>
        <w:t xml:space="preserve">4.3.2 Presupuesto y evaluación</w:t>
      </w:r>
    </w:p>
    <w:p>
      <w:pPr>
        <w:pStyle w:val="FirstParagraph"/>
      </w:pPr>
      <w:r>
        <w:t xml:space="preserve">RR.HH. coordina la asignación presupuestaria anual y evalúa impacto por medio de encuestas y KPIs.</w:t>
      </w:r>
    </w:p>
    <w:bookmarkEnd w:id="45"/>
    <w:bookmarkEnd w:id="46"/>
    <w:bookmarkStart w:id="49" w:name="evaluación-del-desempeño"/>
    <w:p>
      <w:pPr>
        <w:pStyle w:val="Heading2"/>
      </w:pPr>
      <w:r>
        <w:t xml:space="preserve">4.4 Evaluación del Desempeño</w:t>
      </w:r>
    </w:p>
    <w:bookmarkStart w:id="47" w:name="frecuencia"/>
    <w:p>
      <w:pPr>
        <w:pStyle w:val="Heading3"/>
      </w:pPr>
      <w:r>
        <w:t xml:space="preserve">4.4.1 Frecuencia</w:t>
      </w:r>
    </w:p>
    <w:p>
      <w:pPr>
        <w:pStyle w:val="FirstParagraph"/>
      </w:pPr>
      <w:r>
        <w:t xml:space="preserve">Evaluación anual formal y revisiones semestrales de metas (OKR / KPI) donde aplique.</w:t>
      </w:r>
    </w:p>
    <w:bookmarkEnd w:id="47"/>
    <w:bookmarkStart w:id="48" w:name="criterios"/>
    <w:p>
      <w:pPr>
        <w:pStyle w:val="Heading3"/>
      </w:pPr>
      <w:r>
        <w:t xml:space="preserve">4.4.2 Criterios</w:t>
      </w:r>
    </w:p>
    <w:p>
      <w:pPr>
        <w:pStyle w:val="FirstParagraph"/>
      </w:pPr>
      <w:r>
        <w:t xml:space="preserve">Competencias técnicas, cumplimiento de objetivos, comportamientos alineados a valores y resultados medibles.</w:t>
      </w:r>
    </w:p>
    <w:bookmarkEnd w:id="48"/>
    <w:bookmarkEnd w:id="49"/>
    <w:bookmarkStart w:id="50" w:name="igualdad-diversidad-e-inclusión"/>
    <w:p>
      <w:pPr>
        <w:pStyle w:val="Heading2"/>
      </w:pPr>
      <w:r>
        <w:t xml:space="preserve">4.5 Igualdad, Diversidad e Inclusión</w:t>
      </w:r>
    </w:p>
    <w:p>
      <w:pPr>
        <w:pStyle w:val="FirstParagraph"/>
      </w:pPr>
      <w:r>
        <w:t xml:space="preserve">Política de igualdad salarial por trabajo de igual valor, acciones afirmativas cuando se requiera, protocolos de inclusión para personas con discapacidad.</w:t>
      </w:r>
    </w:p>
    <w:bookmarkEnd w:id="50"/>
    <w:bookmarkStart w:id="53" w:name="X30e26556b0e9b0106686bd90fbea30a2cc2c6bc"/>
    <w:p>
      <w:pPr>
        <w:pStyle w:val="Heading2"/>
      </w:pPr>
      <w:r>
        <w:t xml:space="preserve">4.6 Políticas Disciplinarias y Desvinculación</w:t>
      </w:r>
    </w:p>
    <w:bookmarkStart w:id="51" w:name="procedimiento-disciplinario"/>
    <w:p>
      <w:pPr>
        <w:pStyle w:val="Heading3"/>
      </w:pPr>
      <w:r>
        <w:t xml:space="preserve">4.6.1 Procedimiento disciplinario</w:t>
      </w:r>
    </w:p>
    <w:p>
      <w:pPr>
        <w:pStyle w:val="Compact"/>
        <w:numPr>
          <w:ilvl w:val="0"/>
          <w:numId w:val="1007"/>
        </w:numPr>
      </w:pPr>
      <w:r>
        <w:t xml:space="preserve">Investigación preliminar.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Notificación al trabajador.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Audiencia o derecho a defensa.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Decisión motivada y sanción proporcional.</w:t>
      </w:r>
    </w:p>
    <w:bookmarkEnd w:id="51"/>
    <w:bookmarkStart w:id="52" w:name="causas-de-despido-sin-justa-causa"/>
    <w:p>
      <w:pPr>
        <w:pStyle w:val="Heading3"/>
      </w:pPr>
      <w:r>
        <w:t xml:space="preserve">4.6.2 Causas de despido sin justa causa</w:t>
      </w:r>
    </w:p>
    <w:p>
      <w:pPr>
        <w:pStyle w:val="FirstParagraph"/>
      </w:pPr>
      <w:r>
        <w:t xml:space="preserve">Faltas graves como fraude, violencia, violación de confidencialidad o actividades delictivas.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60" w:name="Xf704ee92746f2f795aaf9c8a60560558d63b1f6"/>
    <w:p>
      <w:pPr>
        <w:pStyle w:val="Heading1"/>
      </w:pPr>
      <w:r>
        <w:t xml:space="preserve">5. Políticas de Seguridad y Salud en el Trabajo (SST)</w:t>
      </w:r>
    </w:p>
    <w:bookmarkStart w:id="55" w:name="marco-general"/>
    <w:p>
      <w:pPr>
        <w:pStyle w:val="Heading2"/>
      </w:pPr>
      <w:r>
        <w:t xml:space="preserve">5.1 Marco General</w:t>
      </w:r>
    </w:p>
    <w:p>
      <w:pPr>
        <w:pStyle w:val="FirstParagraph"/>
      </w:pPr>
      <w:r>
        <w:t xml:space="preserve">Conforme a la legislación colombiana (Ley 1562/2012 y normativas del Ministerio de Trabajo y ARL), la Empresa garantizará condiciones seguras y saludables.</w:t>
      </w:r>
    </w:p>
    <w:bookmarkEnd w:id="55"/>
    <w:bookmarkStart w:id="56" w:name="programa-de-salud-ocupacional"/>
    <w:p>
      <w:pPr>
        <w:pStyle w:val="Heading2"/>
      </w:pPr>
      <w:r>
        <w:t xml:space="preserve">5.2 Programa de Salud Ocupacional</w:t>
      </w:r>
    </w:p>
    <w:p>
      <w:pPr>
        <w:pStyle w:val="FirstParagraph"/>
      </w:pPr>
      <w:r>
        <w:t xml:space="preserve">Implementación de evaluación de riesgos, programas de prevención, exámenes médicos de ingreso, periódicos y de retiro.</w:t>
      </w:r>
    </w:p>
    <w:bookmarkEnd w:id="56"/>
    <w:bookmarkStart w:id="57" w:name="prevención-y-reporte-de-incidentes"/>
    <w:p>
      <w:pPr>
        <w:pStyle w:val="Heading2"/>
      </w:pPr>
      <w:r>
        <w:t xml:space="preserve">5.3 Prevención y Reporte de Incidentes</w:t>
      </w:r>
    </w:p>
    <w:p>
      <w:pPr>
        <w:pStyle w:val="FirstParagraph"/>
      </w:pPr>
      <w:r>
        <w:t xml:space="preserve">Obligación de reportar incidentes y accidentes de trabajo en 24 horas. Investigación de causas y acciones correctivas documentadas.</w:t>
      </w:r>
    </w:p>
    <w:bookmarkEnd w:id="57"/>
    <w:bookmarkStart w:id="58" w:name="ergonomía-y-teletrabajo"/>
    <w:p>
      <w:pPr>
        <w:pStyle w:val="Heading2"/>
      </w:pPr>
      <w:r>
        <w:t xml:space="preserve">5.4 Ergonomía y Teletrabajo</w:t>
      </w:r>
    </w:p>
    <w:p>
      <w:pPr>
        <w:pStyle w:val="FirstParagraph"/>
      </w:pPr>
      <w:r>
        <w:t xml:space="preserve">Lineamientos para estaciones de trabajo, pausas activas, evaluación ergonómica y políticas específicas para teletrabajo y trabajo remoto (equipos, seguridad, horarios).</w:t>
      </w:r>
    </w:p>
    <w:bookmarkEnd w:id="58"/>
    <w:bookmarkStart w:id="59" w:name="planes-de-emergencia"/>
    <w:p>
      <w:pPr>
        <w:pStyle w:val="Heading2"/>
      </w:pPr>
      <w:r>
        <w:t xml:space="preserve">5.5 Planes de Emergencia</w:t>
      </w:r>
    </w:p>
    <w:p>
      <w:pPr>
        <w:pStyle w:val="FirstParagraph"/>
      </w:pPr>
      <w:r>
        <w:t xml:space="preserve">Evacuación, brigadas, puntos de encuentro y simulacros semestrales documentados.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70" w:name="X2a5bb8a267fa3db189f113f4bb5557d0718a0fb"/>
    <w:p>
      <w:pPr>
        <w:pStyle w:val="Heading1"/>
      </w:pPr>
      <w:r>
        <w:t xml:space="preserve">6. Políticas de Seguridad de la Información y Uso de Tecnología</w:t>
      </w:r>
    </w:p>
    <w:bookmarkStart w:id="61" w:name="objetivo"/>
    <w:p>
      <w:pPr>
        <w:pStyle w:val="Heading2"/>
      </w:pPr>
      <w:r>
        <w:t xml:space="preserve">6.1 Objetivo</w:t>
      </w:r>
    </w:p>
    <w:p>
      <w:pPr>
        <w:pStyle w:val="FirstParagraph"/>
      </w:pPr>
      <w:r>
        <w:t xml:space="preserve">Proteger la confidencialidad, integridad y disponibilidad de la información y activos tecnológicos.</w:t>
      </w:r>
    </w:p>
    <w:bookmarkEnd w:id="61"/>
    <w:bookmarkStart w:id="62" w:name="alcance"/>
    <w:p>
      <w:pPr>
        <w:pStyle w:val="Heading2"/>
      </w:pPr>
      <w:r>
        <w:t xml:space="preserve">6.2 Alcance</w:t>
      </w:r>
    </w:p>
    <w:p>
      <w:pPr>
        <w:pStyle w:val="FirstParagraph"/>
      </w:pPr>
      <w:r>
        <w:t xml:space="preserve">Aplica a todos los usuarios de sistemas, dispositivos conectados a la red corporativa y proveedores que manejan información de la Empresa.</w:t>
      </w:r>
    </w:p>
    <w:bookmarkEnd w:id="62"/>
    <w:bookmarkStart w:id="63" w:name="clasificación-de-la-información"/>
    <w:p>
      <w:pPr>
        <w:pStyle w:val="Heading2"/>
      </w:pPr>
      <w:r>
        <w:t xml:space="preserve">6.3 Clasificación de la Información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Pública:</w:t>
      </w:r>
      <w:r>
        <w:t xml:space="preserve"> </w:t>
      </w:r>
      <w:r>
        <w:t xml:space="preserve">puede ser divulgada sin restricciones.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Interna:</w:t>
      </w:r>
      <w:r>
        <w:t xml:space="preserve"> </w:t>
      </w:r>
      <w:r>
        <w:t xml:space="preserve">uso dentro de la Empresa, no para difusión externa.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Confidencial:</w:t>
      </w:r>
      <w:r>
        <w:t xml:space="preserve"> </w:t>
      </w:r>
      <w:r>
        <w:t xml:space="preserve">acceso limitado por necesidad.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Restringida:</w:t>
      </w:r>
      <w:r>
        <w:t xml:space="preserve"> </w:t>
      </w:r>
      <w:r>
        <w:t xml:space="preserve">información crítica de alto impacto en caso de divulgación.</w:t>
      </w:r>
    </w:p>
    <w:bookmarkEnd w:id="63"/>
    <w:bookmarkStart w:id="64" w:name="acceso-y-control-de-identidades"/>
    <w:p>
      <w:pPr>
        <w:pStyle w:val="Heading2"/>
      </w:pPr>
      <w:r>
        <w:t xml:space="preserve">6.4 Acceso y Control de Identidades</w:t>
      </w:r>
    </w:p>
    <w:p>
      <w:pPr>
        <w:pStyle w:val="FirstParagraph"/>
      </w:pPr>
      <w:r>
        <w:t xml:space="preserve">Política de mínimos privilegios; gestión de cuentas; revisión trimestral de accesos; autenticación multifactor para sistemas críticos.</w:t>
      </w:r>
    </w:p>
    <w:bookmarkEnd w:id="64"/>
    <w:bookmarkStart w:id="65" w:name="contraseñas-y-autenticación"/>
    <w:p>
      <w:pPr>
        <w:pStyle w:val="Heading2"/>
      </w:pPr>
      <w:r>
        <w:t xml:space="preserve">6.5 Contraseñas y Autenticación</w:t>
      </w:r>
    </w:p>
    <w:p>
      <w:pPr>
        <w:pStyle w:val="FirstParagraph"/>
      </w:pPr>
      <w:r>
        <w:t xml:space="preserve">Longitud mínima, caducidad, no reutilización, almacenamiento cifrado en gestores autorizados.</w:t>
      </w:r>
    </w:p>
    <w:bookmarkEnd w:id="65"/>
    <w:bookmarkStart w:id="66" w:name="uso-aceptable-de-activos"/>
    <w:p>
      <w:pPr>
        <w:pStyle w:val="Heading2"/>
      </w:pPr>
      <w:r>
        <w:t xml:space="preserve">6.6 Uso Aceptable de Activos</w:t>
      </w:r>
    </w:p>
    <w:p>
      <w:pPr>
        <w:pStyle w:val="FirstParagraph"/>
      </w:pPr>
      <w:r>
        <w:t xml:space="preserve">Reglas claras sobre uso de correo, internet, dispositivos corporativos y dispositivos personales (BYOD): prohibido instalar software no autorizado, descargar archivos de fuentes no confiables.</w:t>
      </w:r>
    </w:p>
    <w:bookmarkEnd w:id="66"/>
    <w:bookmarkStart w:id="67" w:name="protección-contra-malware-y-backup"/>
    <w:p>
      <w:pPr>
        <w:pStyle w:val="Heading2"/>
      </w:pPr>
      <w:r>
        <w:t xml:space="preserve">6.7 Protección contra Malware y Backup</w:t>
      </w:r>
    </w:p>
    <w:p>
      <w:pPr>
        <w:pStyle w:val="FirstParagraph"/>
      </w:pPr>
      <w:r>
        <w:t xml:space="preserve">Antivirus centralizado, actualizaciones periódicas, backups diarios/semanales según criticidad, pruebas de restauración periódicas.</w:t>
      </w:r>
    </w:p>
    <w:bookmarkEnd w:id="67"/>
    <w:bookmarkStart w:id="68" w:name="gestión-de-incidentes-de-seguridad"/>
    <w:p>
      <w:pPr>
        <w:pStyle w:val="Heading2"/>
      </w:pPr>
      <w:r>
        <w:t xml:space="preserve">6.8 Gestión de Incidentes de Seguridad</w:t>
      </w:r>
    </w:p>
    <w:p>
      <w:pPr>
        <w:pStyle w:val="FirstParagraph"/>
      </w:pPr>
      <w:r>
        <w:t xml:space="preserve">Reporte inmediato de incidentes; equipo de respuesta (CSIRT); cronograma de contención, erradicación, recuperación y lecciones aprendidas.</w:t>
      </w:r>
    </w:p>
    <w:bookmarkEnd w:id="68"/>
    <w:bookmarkStart w:id="69" w:name="terceros-y-proveedores-tecnológicos"/>
    <w:p>
      <w:pPr>
        <w:pStyle w:val="Heading2"/>
      </w:pPr>
      <w:r>
        <w:t xml:space="preserve">6.9 Terceros y Proveedores Tecnológicos</w:t>
      </w:r>
    </w:p>
    <w:p>
      <w:pPr>
        <w:pStyle w:val="FirstParagraph"/>
      </w:pPr>
      <w:r>
        <w:t xml:space="preserve">Cláusulas en contratos que obliguen a proveedores a cumplir con controles de seguridad, auditorías y pruebas periódicas.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7" w:name="políticas-financieras-y-contables"/>
    <w:p>
      <w:pPr>
        <w:pStyle w:val="Heading1"/>
      </w:pPr>
      <w:r>
        <w:t xml:space="preserve">7. Políticas Financieras y Contables</w:t>
      </w:r>
    </w:p>
    <w:bookmarkStart w:id="71" w:name="principios-contables-y-cumplimiento"/>
    <w:p>
      <w:pPr>
        <w:pStyle w:val="Heading2"/>
      </w:pPr>
      <w:r>
        <w:t xml:space="preserve">7.1 Principios contables y cumplimiento</w:t>
      </w:r>
    </w:p>
    <w:p>
      <w:pPr>
        <w:pStyle w:val="FirstParagraph"/>
      </w:pPr>
      <w:r>
        <w:t xml:space="preserve">Aplicación del Marco Técnico Normativo para la preparación de estados financieros en Colombia (Normas NIIF cuando aplique) y principios de prudencia, transparencia y trazabilidad.</w:t>
      </w:r>
    </w:p>
    <w:bookmarkEnd w:id="71"/>
    <w:bookmarkStart w:id="72" w:name="aprobaciones-y-límites-de-gasto"/>
    <w:p>
      <w:pPr>
        <w:pStyle w:val="Heading2"/>
      </w:pPr>
      <w:r>
        <w:t xml:space="preserve">7.2 Aprobaciones y Límites de Gasto</w:t>
      </w:r>
    </w:p>
    <w:p>
      <w:pPr>
        <w:pStyle w:val="FirstParagraph"/>
      </w:pPr>
      <w:r>
        <w:t xml:space="preserve">Niveles de autorización documentados por montos (ej. Gerente de Área hasta COP 10.000.000, Director Financiero hasta COP 100.000.000, Gerente General a partir de COP 100.000.000). Cualquier excepción debe documentarse y aprobarse por el Comité de Riesgos.</w:t>
      </w:r>
    </w:p>
    <w:bookmarkEnd w:id="72"/>
    <w:bookmarkStart w:id="73" w:name="control-de-caja-y-bancos"/>
    <w:p>
      <w:pPr>
        <w:pStyle w:val="Heading2"/>
      </w:pPr>
      <w:r>
        <w:t xml:space="preserve">7.3 Control de Caja y Bancos</w:t>
      </w:r>
    </w:p>
    <w:p>
      <w:pPr>
        <w:pStyle w:val="FirstParagraph"/>
      </w:pPr>
      <w:r>
        <w:t xml:space="preserve">Conciliaciones mensuales, segregación de funciones entre quien registra y quien aprueba pagos.</w:t>
      </w:r>
    </w:p>
    <w:bookmarkEnd w:id="73"/>
    <w:bookmarkStart w:id="74" w:name="facturación-y-cuentas-por-cobrar"/>
    <w:p>
      <w:pPr>
        <w:pStyle w:val="Heading2"/>
      </w:pPr>
      <w:r>
        <w:t xml:space="preserve">7.4 Facturación y Cuentas por Cobrar</w:t>
      </w:r>
    </w:p>
    <w:p>
      <w:pPr>
        <w:pStyle w:val="FirstParagraph"/>
      </w:pPr>
      <w:r>
        <w:t xml:space="preserve">Política sobre emisión de facturas, plazos, gestión de cartera, provisiones y criterios de reconocimiento de ingresos.</w:t>
      </w:r>
    </w:p>
    <w:bookmarkEnd w:id="74"/>
    <w:bookmarkStart w:id="75" w:name="auditoría-interna-y-externa"/>
    <w:p>
      <w:pPr>
        <w:pStyle w:val="Heading2"/>
      </w:pPr>
      <w:r>
        <w:t xml:space="preserve">7.5 Auditoría Interna y Externa</w:t>
      </w:r>
    </w:p>
    <w:p>
      <w:pPr>
        <w:pStyle w:val="FirstParagraph"/>
      </w:pPr>
      <w:r>
        <w:t xml:space="preserve">Plan anual de auditoría interna con informes al Comité de Auditoría; contratación de auditor externo para revisión anual de estados financieros.</w:t>
      </w:r>
    </w:p>
    <w:bookmarkEnd w:id="75"/>
    <w:bookmarkStart w:id="76" w:name="X35416c8076e5dbe995b972a110e6361a18a8a14"/>
    <w:p>
      <w:pPr>
        <w:pStyle w:val="Heading2"/>
      </w:pPr>
      <w:r>
        <w:t xml:space="preserve">7.6 Prevención de Lavado de Activos y Financiación del Terrorismo (LA/FT)</w:t>
      </w:r>
    </w:p>
    <w:p>
      <w:pPr>
        <w:pStyle w:val="FirstParagraph"/>
      </w:pPr>
      <w:r>
        <w:t xml:space="preserve">Medidas de debida diligencia en clientes y operaciones sospechosas, reportes a la Unidad de Información y Análisis Financiero (UIAF) cuando proceda, y capacitaciones periódicas para áreas expuestas.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3" w:name="políticas-de-compras-y-proveedores"/>
    <w:p>
      <w:pPr>
        <w:pStyle w:val="Heading1"/>
      </w:pPr>
      <w:r>
        <w:t xml:space="preserve">8. Políticas de Compras y Proveedores</w:t>
      </w:r>
    </w:p>
    <w:bookmarkStart w:id="78" w:name="principios-1"/>
    <w:p>
      <w:pPr>
        <w:pStyle w:val="Heading2"/>
      </w:pPr>
      <w:r>
        <w:t xml:space="preserve">8.1 Principios</w:t>
      </w:r>
    </w:p>
    <w:p>
      <w:pPr>
        <w:pStyle w:val="FirstParagraph"/>
      </w:pPr>
      <w:r>
        <w:t xml:space="preserve">Competencia, transparencia, igualdad de oportunidades y selección basada en criterios técnicos, financieros y de cumplimiento ético.</w:t>
      </w:r>
    </w:p>
    <w:bookmarkEnd w:id="78"/>
    <w:bookmarkStart w:id="79" w:name="proceso-de-compras"/>
    <w:p>
      <w:pPr>
        <w:pStyle w:val="Heading2"/>
      </w:pPr>
      <w:r>
        <w:t xml:space="preserve">8.2 Proceso de Compras</w:t>
      </w:r>
    </w:p>
    <w:p>
      <w:pPr>
        <w:pStyle w:val="Compact"/>
        <w:numPr>
          <w:ilvl w:val="0"/>
          <w:numId w:val="1009"/>
        </w:numPr>
      </w:pPr>
      <w:r>
        <w:t xml:space="preserve">Requisición por usuario solicitante.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Aprobación por jefe de área.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Solicitud de cotizaciones (mínimo 3) para compras superiores a COP 5.000.000.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Evaluación y selección con matriz de criterios.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Firma de contrato y registro en el sistema.</w:t>
      </w:r>
    </w:p>
    <w:bookmarkEnd w:id="79"/>
    <w:bookmarkStart w:id="80" w:name="due-diligence-de-proveedores"/>
    <w:p>
      <w:pPr>
        <w:pStyle w:val="Heading2"/>
      </w:pPr>
      <w:r>
        <w:t xml:space="preserve">8.3 Due Diligence de Proveedores</w:t>
      </w:r>
    </w:p>
    <w:p>
      <w:pPr>
        <w:pStyle w:val="FirstParagraph"/>
      </w:pPr>
      <w:r>
        <w:t xml:space="preserve">Verificación de antecedentes legales, fiscales, reportes de cumplimiento y políticas de anticorrupción.</w:t>
      </w:r>
    </w:p>
    <w:bookmarkEnd w:id="80"/>
    <w:bookmarkStart w:id="81" w:name="contratos-y-clausulado"/>
    <w:p>
      <w:pPr>
        <w:pStyle w:val="Heading2"/>
      </w:pPr>
      <w:r>
        <w:t xml:space="preserve">8.4 Contratos y Clausulado</w:t>
      </w:r>
    </w:p>
    <w:p>
      <w:pPr>
        <w:pStyle w:val="FirstParagraph"/>
      </w:pPr>
      <w:r>
        <w:t xml:space="preserve">Incluir cláusulas de confidencialidad, protección de datos, SLA, penalidades y mecanismos de resolución de controversias.</w:t>
      </w:r>
    </w:p>
    <w:bookmarkEnd w:id="81"/>
    <w:bookmarkStart w:id="82" w:name="gestión-de-riesgos-con-proveedores"/>
    <w:p>
      <w:pPr>
        <w:pStyle w:val="Heading2"/>
      </w:pPr>
      <w:r>
        <w:t xml:space="preserve">8.5 Gestión de Riesgos con Proveedores</w:t>
      </w:r>
    </w:p>
    <w:p>
      <w:pPr>
        <w:pStyle w:val="FirstParagraph"/>
      </w:pPr>
      <w:r>
        <w:t xml:space="preserve">Clasificación por criticidad, planes de continuidad y evaluación anual del desempeño.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8" w:name="Xa0b8fe2c3e7d9ace666af9feb1942a6eec1a0de"/>
    <w:p>
      <w:pPr>
        <w:pStyle w:val="Heading1"/>
      </w:pPr>
      <w:r>
        <w:t xml:space="preserve">9. Políticas de Responsabilidad Social y Ambiental</w:t>
      </w:r>
    </w:p>
    <w:bookmarkStart w:id="84" w:name="compromiso-ambiental"/>
    <w:p>
      <w:pPr>
        <w:pStyle w:val="Heading2"/>
      </w:pPr>
      <w:r>
        <w:t xml:space="preserve">9.1 Compromiso ambiental</w:t>
      </w:r>
    </w:p>
    <w:p>
      <w:pPr>
        <w:pStyle w:val="FirstParagraph"/>
      </w:pPr>
      <w:r>
        <w:t xml:space="preserve">Cumplimiento de la normativa ambiental colombiana; medición y reporte de huella de carbono; planes de reducción de emisiones y gestión de residuos.</w:t>
      </w:r>
    </w:p>
    <w:bookmarkEnd w:id="84"/>
    <w:bookmarkStart w:id="85" w:name="programas-comunitarios"/>
    <w:p>
      <w:pPr>
        <w:pStyle w:val="Heading2"/>
      </w:pPr>
      <w:r>
        <w:t xml:space="preserve">9.2 Programas comunitarios</w:t>
      </w:r>
    </w:p>
    <w:p>
      <w:pPr>
        <w:pStyle w:val="FirstParagraph"/>
      </w:pPr>
      <w:r>
        <w:t xml:space="preserve">Proyectos de inversión social en comunidades vecinas, educación técnica, empleo local y apoyo a emprendimientos sostenibles.</w:t>
      </w:r>
    </w:p>
    <w:bookmarkEnd w:id="85"/>
    <w:bookmarkStart w:id="86" w:name="compras-responsables"/>
    <w:p>
      <w:pPr>
        <w:pStyle w:val="Heading2"/>
      </w:pPr>
      <w:r>
        <w:t xml:space="preserve">9.3 Compras responsables</w:t>
      </w:r>
    </w:p>
    <w:p>
      <w:pPr>
        <w:pStyle w:val="FirstParagraph"/>
      </w:pPr>
      <w:r>
        <w:t xml:space="preserve">Prefencia por proveedores con prácticas sostenibles y certificaciones ambientales cuando sea posible.</w:t>
      </w:r>
    </w:p>
    <w:bookmarkEnd w:id="86"/>
    <w:bookmarkStart w:id="87" w:name="reporte-y-transparencia"/>
    <w:p>
      <w:pPr>
        <w:pStyle w:val="Heading2"/>
      </w:pPr>
      <w:r>
        <w:t xml:space="preserve">9.4 Reporte y Transparencia</w:t>
      </w:r>
    </w:p>
    <w:p>
      <w:pPr>
        <w:pStyle w:val="FirstParagraph"/>
      </w:pPr>
      <w:r>
        <w:t xml:space="preserve">Reporte anual de sostenibilidad con indicadores ESG (ambientales, sociales y de gobernanza).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3" w:name="Xab74b80c4544cb683d0842007dd499ea0b8be17"/>
    <w:p>
      <w:pPr>
        <w:pStyle w:val="Heading1"/>
      </w:pPr>
      <w:r>
        <w:t xml:space="preserve">10. Políticas de Comunicación Interna y Externa</w:t>
      </w:r>
    </w:p>
    <w:bookmarkStart w:id="89" w:name="comunicación-corporativa"/>
    <w:p>
      <w:pPr>
        <w:pStyle w:val="Heading2"/>
      </w:pPr>
      <w:r>
        <w:t xml:space="preserve">10.1 Comunicación Corporativa</w:t>
      </w:r>
    </w:p>
    <w:p>
      <w:pPr>
        <w:pStyle w:val="FirstParagraph"/>
      </w:pPr>
      <w:r>
        <w:t xml:space="preserve">Centralización de mensajes oficiales a través del área de Comunicaciones; voceros autorizados (Gerente General, Director de Comunicaciones y portavoces por área designados).</w:t>
      </w:r>
    </w:p>
    <w:bookmarkEnd w:id="89"/>
    <w:bookmarkStart w:id="90" w:name="redes-sociales-y-representación"/>
    <w:p>
      <w:pPr>
        <w:pStyle w:val="Heading2"/>
      </w:pPr>
      <w:r>
        <w:t xml:space="preserve">10.2 Redes Sociales y Representación</w:t>
      </w:r>
    </w:p>
    <w:p>
      <w:pPr>
        <w:pStyle w:val="FirstParagraph"/>
      </w:pPr>
      <w:r>
        <w:t xml:space="preserve">Normas para publicaciones en redes por parte de empleados y cuenta oficial. Prohibido hacer declaraciones en nombre de la Empresa sin autorización.</w:t>
      </w:r>
    </w:p>
    <w:bookmarkEnd w:id="90"/>
    <w:bookmarkStart w:id="91" w:name="manejo-de-crisis"/>
    <w:p>
      <w:pPr>
        <w:pStyle w:val="Heading2"/>
      </w:pPr>
      <w:r>
        <w:t xml:space="preserve">10.3 Manejo de Crisis</w:t>
      </w:r>
    </w:p>
    <w:p>
      <w:pPr>
        <w:pStyle w:val="FirstParagraph"/>
      </w:pPr>
      <w:r>
        <w:t xml:space="preserve">Plan de comunicación en crisis con tiempos de respuesta, mensajes clave y control de versiones.</w:t>
      </w:r>
    </w:p>
    <w:bookmarkEnd w:id="91"/>
    <w:bookmarkStart w:id="92" w:name="protección-de-la-privacidad"/>
    <w:p>
      <w:pPr>
        <w:pStyle w:val="Heading2"/>
      </w:pPr>
      <w:r>
        <w:t xml:space="preserve">10.4 Protección de la Privacidad</w:t>
      </w:r>
    </w:p>
    <w:p>
      <w:pPr>
        <w:pStyle w:val="FirstParagraph"/>
      </w:pPr>
      <w:r>
        <w:t xml:space="preserve">Lineamientos para manejo de información personal en comunicaciones públicas y comerciales.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Xf43a552cfcc78edd089713f4d39745fa11ef18b"/>
    <w:p>
      <w:pPr>
        <w:pStyle w:val="Heading1"/>
      </w:pPr>
      <w:r>
        <w:t xml:space="preserve">11. Políticas de Cumplimiento Legal y Normativo</w:t>
      </w:r>
    </w:p>
    <w:bookmarkStart w:id="94" w:name="marco-normativo"/>
    <w:p>
      <w:pPr>
        <w:pStyle w:val="Heading2"/>
      </w:pPr>
      <w:r>
        <w:t xml:space="preserve">11.1 Marco Normativo</w:t>
      </w:r>
    </w:p>
    <w:p>
      <w:pPr>
        <w:pStyle w:val="FirstParagraph"/>
      </w:pPr>
      <w:r>
        <w:t xml:space="preserve">Cumplimiento de legislación laboral, tributaria, ambiental, de protección de datos (Ley 1581/2012 y decretos reglamentarios), y normas sectoriales aplicables.</w:t>
      </w:r>
    </w:p>
    <w:bookmarkEnd w:id="94"/>
    <w:bookmarkStart w:id="95" w:name="responsable-de-cumplimiento"/>
    <w:p>
      <w:pPr>
        <w:pStyle w:val="Heading2"/>
      </w:pPr>
      <w:r>
        <w:t xml:space="preserve">11.2 Responsable de Cumplimiento</w:t>
      </w:r>
    </w:p>
    <w:p>
      <w:pPr>
        <w:pStyle w:val="FirstParagraph"/>
      </w:pPr>
      <w:r>
        <w:t xml:space="preserve">Designación de un Oficial de Cumplimiento con reporte al Comité de Riesgos y al Consejo de Administración.</w:t>
      </w:r>
    </w:p>
    <w:bookmarkEnd w:id="95"/>
    <w:bookmarkStart w:id="96" w:name="evaluación-de-cumplimiento"/>
    <w:p>
      <w:pPr>
        <w:pStyle w:val="Heading2"/>
      </w:pPr>
      <w:r>
        <w:t xml:space="preserve">11.3 Evaluación de Cumplimiento</w:t>
      </w:r>
    </w:p>
    <w:p>
      <w:pPr>
        <w:pStyle w:val="FirstParagraph"/>
      </w:pPr>
      <w:r>
        <w:t xml:space="preserve">Autoevaluaciones periódicas, auditorías e informes de cumplimiento presentados anualmente al Consejo.</w:t>
      </w:r>
    </w:p>
    <w:bookmarkEnd w:id="96"/>
    <w:bookmarkStart w:id="97" w:name="sanciones-y-remedios"/>
    <w:p>
      <w:pPr>
        <w:pStyle w:val="Heading2"/>
      </w:pPr>
      <w:r>
        <w:t xml:space="preserve">11.4 Sanciones y Remedios</w:t>
      </w:r>
    </w:p>
    <w:p>
      <w:pPr>
        <w:pStyle w:val="FirstParagraph"/>
      </w:pPr>
      <w:r>
        <w:t xml:space="preserve">Sanciones internas y colaboración con autoridades cuando proceda; planes de remediación con fechas límite.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3" w:name="X23ba040586061b8a6f3da2210c46330c2a766e6"/>
    <w:p>
      <w:pPr>
        <w:pStyle w:val="Heading1"/>
      </w:pPr>
      <w:r>
        <w:t xml:space="preserve">12. Políticas de Viajes y Gastos Corporativos</w:t>
      </w:r>
    </w:p>
    <w:bookmarkStart w:id="99" w:name="alcance-1"/>
    <w:p>
      <w:pPr>
        <w:pStyle w:val="Heading2"/>
      </w:pPr>
      <w:r>
        <w:t xml:space="preserve">12.1 Alcance</w:t>
      </w:r>
    </w:p>
    <w:p>
      <w:pPr>
        <w:pStyle w:val="FirstParagraph"/>
      </w:pPr>
      <w:r>
        <w:t xml:space="preserve">Aplica a viajes nacionales e internacionales pagados por la Empresa.</w:t>
      </w:r>
    </w:p>
    <w:bookmarkEnd w:id="99"/>
    <w:bookmarkStart w:id="100" w:name="aprobaciones"/>
    <w:p>
      <w:pPr>
        <w:pStyle w:val="Heading2"/>
      </w:pPr>
      <w:r>
        <w:t xml:space="preserve">12.2 Aprobaciones</w:t>
      </w:r>
    </w:p>
    <w:p>
      <w:pPr>
        <w:pStyle w:val="FirstParagraph"/>
      </w:pPr>
      <w:r>
        <w:t xml:space="preserve">Viajes deben ser aprobados por el jefe directo; viajes internacionales además por Dirección General o Gerencia correspondiente.</w:t>
      </w:r>
    </w:p>
    <w:bookmarkEnd w:id="100"/>
    <w:bookmarkStart w:id="101" w:name="límites-y-reembolsos"/>
    <w:p>
      <w:pPr>
        <w:pStyle w:val="Heading2"/>
      </w:pPr>
      <w:r>
        <w:t xml:space="preserve">12.3 Límites y Reembolsos</w:t>
      </w:r>
    </w:p>
    <w:p>
      <w:pPr>
        <w:pStyle w:val="FirstParagraph"/>
      </w:pPr>
      <w:r>
        <w:t xml:space="preserve">Topes por categoría (transporte, hospedaje, alimentación). Reembolso con comprobantes originales, formulario de gastos y aprobación en el sistema financiero.</w:t>
      </w:r>
    </w:p>
    <w:bookmarkEnd w:id="101"/>
    <w:bookmarkStart w:id="102" w:name="uso-de-tarjetas-corporativas"/>
    <w:p>
      <w:pPr>
        <w:pStyle w:val="Heading2"/>
      </w:pPr>
      <w:r>
        <w:t xml:space="preserve">12.4 Uso de Tarjetas Corporativas</w:t>
      </w:r>
    </w:p>
    <w:p>
      <w:pPr>
        <w:pStyle w:val="FirstParagraph"/>
      </w:pPr>
      <w:r>
        <w:t xml:space="preserve">Tarjetas asignadas bajo responsabilidad del titular; conciliaciones mensuales y reporte de gastos en 10 días hábiles.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7" w:name="políticas-de-conflictos-de-interés"/>
    <w:p>
      <w:pPr>
        <w:pStyle w:val="Heading1"/>
      </w:pPr>
      <w:r>
        <w:t xml:space="preserve">13. Políticas de Conflictos de Interés</w:t>
      </w:r>
    </w:p>
    <w:bookmarkStart w:id="104" w:name="definición"/>
    <w:p>
      <w:pPr>
        <w:pStyle w:val="Heading2"/>
      </w:pPr>
      <w:r>
        <w:t xml:space="preserve">13.1 Definición</w:t>
      </w:r>
    </w:p>
    <w:p>
      <w:pPr>
        <w:pStyle w:val="FirstParagraph"/>
      </w:pPr>
      <w:r>
        <w:t xml:space="preserve">Situación en la que intereses personales o familiares de un colaborador pueden influir en decisiones de la Empresa.</w:t>
      </w:r>
    </w:p>
    <w:bookmarkEnd w:id="104"/>
    <w:bookmarkStart w:id="105" w:name="declaración-y-registro"/>
    <w:p>
      <w:pPr>
        <w:pStyle w:val="Heading2"/>
      </w:pPr>
      <w:r>
        <w:t xml:space="preserve">13.2 Declaración y Registro</w:t>
      </w:r>
    </w:p>
    <w:p>
      <w:pPr>
        <w:pStyle w:val="FirstParagraph"/>
      </w:pPr>
      <w:r>
        <w:t xml:space="preserve">Obligación anual de declaración de conflictos de interés y actualización ante cambios.</w:t>
      </w:r>
    </w:p>
    <w:bookmarkEnd w:id="105"/>
    <w:bookmarkStart w:id="106" w:name="manejo"/>
    <w:p>
      <w:pPr>
        <w:pStyle w:val="Heading2"/>
      </w:pPr>
      <w:r>
        <w:t xml:space="preserve">13.3 Manejo</w:t>
      </w:r>
    </w:p>
    <w:p>
      <w:pPr>
        <w:pStyle w:val="FirstParagraph"/>
      </w:pPr>
      <w:r>
        <w:t xml:space="preserve">Si existe conflicto, el empleado debe abstenerse de decidir y debe documentarse la decisión alternativa. En casos críticos, decisión por el Comité de Ética.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12" w:name="X58a36a6de98019f775dc2c541b7ff6891df261a"/>
    <w:p>
      <w:pPr>
        <w:pStyle w:val="Heading1"/>
      </w:pPr>
      <w:r>
        <w:t xml:space="preserve">14. Políticas de Gestión de Riesgos y Continuidad del Negocio</w:t>
      </w:r>
    </w:p>
    <w:bookmarkStart w:id="108" w:name="enfoque-general"/>
    <w:p>
      <w:pPr>
        <w:pStyle w:val="Heading2"/>
      </w:pPr>
      <w:r>
        <w:t xml:space="preserve">14.1 Enfoque general</w:t>
      </w:r>
    </w:p>
    <w:p>
      <w:pPr>
        <w:pStyle w:val="FirstParagraph"/>
      </w:pPr>
      <w:r>
        <w:t xml:space="preserve">Identificación, evaluación, tratamiento y monitoreo de riesgos estratégicos, operativos, financieros, legales, tecnológicos y reputacionales.</w:t>
      </w:r>
    </w:p>
    <w:bookmarkEnd w:id="108"/>
    <w:bookmarkStart w:id="109" w:name="comité-de-riesgos"/>
    <w:p>
      <w:pPr>
        <w:pStyle w:val="Heading2"/>
      </w:pPr>
      <w:r>
        <w:t xml:space="preserve">14.2 Comité de Riesgos</w:t>
      </w:r>
    </w:p>
    <w:p>
      <w:pPr>
        <w:pStyle w:val="FirstParagraph"/>
      </w:pPr>
      <w:r>
        <w:t xml:space="preserve">Comité multidisciplinario que se reúne trimestralmente para revisar mapa de riesgos y medidas mitigantes.</w:t>
      </w:r>
    </w:p>
    <w:bookmarkEnd w:id="109"/>
    <w:bookmarkStart w:id="110" w:name="plan-de-continuidad-del-negocio-bcp"/>
    <w:p>
      <w:pPr>
        <w:pStyle w:val="Heading2"/>
      </w:pPr>
      <w:r>
        <w:t xml:space="preserve">14.3 Plan de Continuidad del Negocio (BCP)</w:t>
      </w:r>
    </w:p>
    <w:p>
      <w:pPr>
        <w:pStyle w:val="FirstParagraph"/>
      </w:pPr>
      <w:r>
        <w:t xml:space="preserve">Planes por unidad crítica, recuperación tecnológica (RTO y RPO definidos por sistema), lugares alternos de trabajo y pruebas anuales.</w:t>
      </w:r>
    </w:p>
    <w:bookmarkEnd w:id="110"/>
    <w:bookmarkStart w:id="111" w:name="seguros"/>
    <w:p>
      <w:pPr>
        <w:pStyle w:val="Heading2"/>
      </w:pPr>
      <w:r>
        <w:t xml:space="preserve">14.4 Seguros</w:t>
      </w:r>
    </w:p>
    <w:p>
      <w:pPr>
        <w:pStyle w:val="FirstParagraph"/>
      </w:pPr>
      <w:r>
        <w:t xml:space="preserve">Política de aseguramiento: cobertura mínima de activos críticos y responsabilidad civil.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Start w:id="116" w:name="Xe3c061c882f287ec65e0a45dd9396b0088b935b"/>
    <w:p>
      <w:pPr>
        <w:pStyle w:val="Heading1"/>
      </w:pPr>
      <w:r>
        <w:t xml:space="preserve">15. Procedimiento de Revisión y Actualización del Manual</w:t>
      </w:r>
    </w:p>
    <w:bookmarkStart w:id="113" w:name="frecuencia-1"/>
    <w:p>
      <w:pPr>
        <w:pStyle w:val="Heading2"/>
      </w:pPr>
      <w:r>
        <w:t xml:space="preserve">15.1 Frecuencia</w:t>
      </w:r>
    </w:p>
    <w:p>
      <w:pPr>
        <w:pStyle w:val="FirstParagraph"/>
      </w:pPr>
      <w:r>
        <w:t xml:space="preserve">Revisión formal anual y actualizaciones extraordinarias cuando se requiera por cambios legales, regulatorios o de negocio.</w:t>
      </w:r>
    </w:p>
    <w:bookmarkEnd w:id="113"/>
    <w:bookmarkStart w:id="114" w:name="proceso"/>
    <w:p>
      <w:pPr>
        <w:pStyle w:val="Heading2"/>
      </w:pPr>
      <w:r>
        <w:t xml:space="preserve">15.2 Proceso</w:t>
      </w:r>
    </w:p>
    <w:p>
      <w:pPr>
        <w:pStyle w:val="Compact"/>
        <w:numPr>
          <w:ilvl w:val="0"/>
          <w:numId w:val="1010"/>
        </w:numPr>
      </w:pPr>
      <w:r>
        <w:t xml:space="preserve">Propuesta de cambio por cualquier área.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Revisión por Dirección de Cumplimiento y RR.HH.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Aprobación final por Gerencia General o Consejo, según impacto.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Comunicación y capacitación sobre los cambios a todos los empleados.</w:t>
      </w:r>
    </w:p>
    <w:bookmarkEnd w:id="114"/>
    <w:bookmarkStart w:id="115" w:name="registro-de-versiones"/>
    <w:p>
      <w:pPr>
        <w:pStyle w:val="Heading2"/>
      </w:pPr>
      <w:r>
        <w:t xml:space="preserve">15.3 Registro de Versiones</w:t>
      </w:r>
    </w:p>
    <w:p>
      <w:pPr>
        <w:pStyle w:val="FirstParagraph"/>
      </w:pPr>
      <w:r>
        <w:t xml:space="preserve">Tabla de control con fecha, versión, responsable del cambio y resumen de modificaciones.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Start w:id="120" w:name="anexos"/>
    <w:p>
      <w:pPr>
        <w:pStyle w:val="Heading1"/>
      </w:pPr>
      <w:r>
        <w:t xml:space="preserve">Anexos</w:t>
      </w:r>
    </w:p>
    <w:bookmarkStart w:id="117" w:name="anexo-a-formatos-y-modelos"/>
    <w:p>
      <w:pPr>
        <w:pStyle w:val="Heading2"/>
      </w:pPr>
      <w:r>
        <w:t xml:space="preserve">Anexo A — Formatos y Modelos</w:t>
      </w:r>
    </w:p>
    <w:p>
      <w:pPr>
        <w:pStyle w:val="Compact"/>
        <w:numPr>
          <w:ilvl w:val="0"/>
          <w:numId w:val="1011"/>
        </w:numPr>
      </w:pPr>
      <w:r>
        <w:t xml:space="preserve">Formato: Acta de recepción del Manual.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Formato: Declaración anual de conflictos de interés.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Formato: Solicitud de viaje y reembolso.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Formato: Reporte de incidente de seguridad de la información.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Formato: Denuncia en el canal ético (modelo).</w:t>
      </w:r>
    </w:p>
    <w:bookmarkEnd w:id="117"/>
    <w:bookmarkStart w:id="118" w:name="anexo-b-responsabilidades-clave-resumen"/>
    <w:p>
      <w:pPr>
        <w:pStyle w:val="Heading2"/>
      </w:pPr>
      <w:r>
        <w:t xml:space="preserve">Anexo B — Responsabilidades Clave (resumen)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Gerente General:</w:t>
      </w:r>
      <w:r>
        <w:t xml:space="preserve"> </w:t>
      </w:r>
      <w:r>
        <w:t xml:space="preserve">aprobar políticas estratégicas y representar legalmente a la Empresa.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Director de Cumplimiento:</w:t>
      </w:r>
      <w:r>
        <w:t xml:space="preserve"> </w:t>
      </w:r>
      <w:r>
        <w:t xml:space="preserve">administrar código, canal de denuncias y reportes al Consejo.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Director Financiero:</w:t>
      </w:r>
      <w:r>
        <w:t xml:space="preserve"> </w:t>
      </w:r>
      <w:r>
        <w:t xml:space="preserve">aprobar flujos y políticas contables.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Director de RR.HH.:</w:t>
      </w:r>
      <w:r>
        <w:t xml:space="preserve"> </w:t>
      </w:r>
      <w:r>
        <w:t xml:space="preserve">gestión de Talento, disciplina y formación.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Jefes de Área:</w:t>
      </w:r>
      <w:r>
        <w:t xml:space="preserve"> </w:t>
      </w:r>
      <w:r>
        <w:t xml:space="preserve">implementación y supervisión local.</w:t>
      </w:r>
    </w:p>
    <w:bookmarkEnd w:id="118"/>
    <w:bookmarkStart w:id="119" w:name="anexo-c-glosario"/>
    <w:p>
      <w:pPr>
        <w:pStyle w:val="Heading2"/>
      </w:pPr>
      <w:r>
        <w:t xml:space="preserve">Anexo C — Glosario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SST:</w:t>
      </w:r>
      <w:r>
        <w:t xml:space="preserve"> </w:t>
      </w:r>
      <w:r>
        <w:t xml:space="preserve">Seguridad y Salud en el Trabajo.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LA/FT:</w:t>
      </w:r>
      <w:r>
        <w:t xml:space="preserve"> </w:t>
      </w:r>
      <w:r>
        <w:t xml:space="preserve">Lavado de Activos y Financiación del Terrorismo.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ARL:</w:t>
      </w:r>
      <w:r>
        <w:t xml:space="preserve"> </w:t>
      </w:r>
      <w:r>
        <w:t xml:space="preserve">Administradora de Riesgos Laborales.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KPI / OKR:</w:t>
      </w:r>
      <w:r>
        <w:t xml:space="preserve"> </w:t>
      </w:r>
      <w:r>
        <w:t xml:space="preserve">indicadores de desempeño.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1" w:name="firma"/>
    <w:p>
      <w:pPr>
        <w:pStyle w:val="Heading1"/>
      </w:pPr>
      <w:r>
        <w:t xml:space="preserve">Firma</w:t>
      </w:r>
    </w:p>
    <w:p>
      <w:pPr>
        <w:pStyle w:val="FirstParagraph"/>
      </w:pPr>
      <w:r>
        <w:t xml:space="preserve">Por la presente, certifico que he recibido, leído y comprendido el Manual de Políticas Corporativas de Grupo Andina S.A. y me comprometo a cumplir las disposiciones contenidas en el mismo.</w:t>
      </w:r>
    </w:p>
    <w:p>
      <w:pPr>
        <w:pStyle w:val="BodyText"/>
      </w:pPr>
      <w:r>
        <w:rPr>
          <w:b/>
          <w:bCs/>
        </w:rPr>
        <w:t xml:space="preserve">Nombre del empleado:</w:t>
      </w:r>
      <w:r>
        <w:t xml:space="preserve"> </w:t>
      </w:r>
      <w:r>
        <w:t xml:space="preserve">______________________</w:t>
      </w:r>
      <w:r>
        <w:br/>
      </w:r>
      <w:r>
        <w:rPr>
          <w:b/>
          <w:bCs/>
        </w:rPr>
        <w:t xml:space="preserve">Cédula:</w:t>
      </w:r>
      <w:r>
        <w:t xml:space="preserve"> </w:t>
      </w:r>
      <w:r>
        <w:t xml:space="preserve">__________________</w:t>
      </w:r>
      <w:r>
        <w:br/>
      </w:r>
      <w:r>
        <w:rPr>
          <w:b/>
          <w:bCs/>
        </w:rPr>
        <w:t xml:space="preserve">Cargo:</w:t>
      </w:r>
      <w:r>
        <w:t xml:space="preserve"> </w:t>
      </w:r>
      <w:r>
        <w:t xml:space="preserve">__________________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__________________</w:t>
      </w:r>
      <w:r>
        <w:br/>
      </w:r>
      <w:r>
        <w:rPr>
          <w:b/>
          <w:bCs/>
        </w:rPr>
        <w:t xml:space="preserve">Firma:</w:t>
      </w:r>
      <w:r>
        <w:t xml:space="preserve"> </w:t>
      </w:r>
      <w:r>
        <w:t xml:space="preserve">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Fin del documento — Versión 1.0</w:t>
      </w:r>
    </w:p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2025-09-24T16:36:03Z</dcterms:created>
  <dcterms:modified xsi:type="dcterms:W3CDTF">2025-09-24T16:36:03Z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