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Receive fraud alert from the monitoring system.</w:t>
      </w:r>
    </w:p>
    <w:p>
      <w:r>
        <w:t>2. Lock the customer account temporarily.</w:t>
      </w:r>
    </w:p>
    <w:p>
      <w:r>
        <w:t>3. Review the flagged transaction details.</w:t>
      </w:r>
    </w:p>
    <w:p>
      <w:r>
        <w:t>3.1 If the transaction matches known fraud patterns, go to step 5.</w:t>
      </w:r>
    </w:p>
    <w:p>
      <w:r>
        <w:t>3.2 If the transaction is ambiguous, contact the customer.</w:t>
      </w:r>
    </w:p>
    <w:p>
      <w:r>
        <w:t>3.2.1 If the customer confirms the charge is legitimate, go to step 6.</w:t>
      </w:r>
    </w:p>
    <w:p>
      <w:r>
        <w:t>3.2.2 If the customer denies the charge, initiate a chargeback with the merchant.</w:t>
      </w:r>
    </w:p>
    <w:p>
      <w:r>
        <w:t>3.2.3 If the customer does not answer the phone, go back to step 3.2.</w:t>
      </w:r>
    </w:p>
    <w:p>
      <w:r>
        <w:t>4. Issue a provisional credit to the customer account.</w:t>
      </w:r>
    </w:p>
    <w:p>
      <w:r>
        <w:t>5. Issue a new physical credit card to the customer.</w:t>
      </w:r>
    </w:p>
    <w:p>
      <w:r>
        <w:t>6. Close the fraud investigation ticket.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