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00" w:before="0"/>
        <w:jc w:val="center"/>
      </w:pPr>
      <w:r>
        <w:rPr>
          <w:rFonts w:ascii="Arial" w:cs="Arial" w:eastAsia="Arial" w:hAnsi="Arial"/>
          <w:b/>
          <w:bCs/>
          <w:color w:val="1F4E79"/>
          <w:sz w:val="48"/>
          <w:szCs w:val="48"/>
        </w:rPr>
        <w:t xml:space="preserve">MULTI-DISEASE RETINAL SCREENING SYSTEM</w:t>
      </w:r>
    </w:p>
    <w:p>
      <w:pPr>
        <w:spacing w:after="200" w:before="0"/>
        <w:jc w:val="center"/>
      </w:pPr>
      <w:r>
        <w:rPr>
          <w:rFonts w:ascii="Arial" w:cs="Arial" w:eastAsia="Arial" w:hAnsi="Arial"/>
          <w:color w:val="595959"/>
          <w:sz w:val="32"/>
          <w:szCs w:val="32"/>
        </w:rPr>
        <w:t xml:space="preserve">Complete Project Reference Document</w:t>
      </w:r>
    </w:p>
    <w:p>
      <w:pPr>
        <w:spacing w:after="80" w:before="0"/>
        <w:jc w:val="center"/>
      </w:pPr>
      <w:r>
        <w:rPr>
          <w:rFonts w:ascii="Arial" w:cs="Arial" w:eastAsia="Arial" w:hAnsi="Arial"/>
          <w:i/>
          <w:iCs/>
          <w:color w:val="595959"/>
          <w:sz w:val="24"/>
          <w:szCs w:val="24"/>
        </w:rPr>
        <w:t xml:space="preserve">Deep Learning &amp; Computer Vision Capstone — B.Tech Final Year</w:t>
      </w:r>
    </w:p>
    <w:p>
      <w:pPr>
        <w:spacing w:after="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color="FFFFFF" w:sz="0"/>
              <w:left w:val="none" w:color="FFFFFF" w:sz="0"/>
              <w:bottom w:val="none" w:color="FFFFFF" w:sz="0"/>
              <w:right w:val="none" w:color="FFFFFF" w:sz="0"/>
            </w:tcBorders>
            <w:shd w:fill="D6E4F0" w:val="clear"/>
            <w:tcMar>
              <w:top w:type="dxa" w:w="200"/>
              <w:left w:type="dxa" w:w="400"/>
              <w:bottom w:type="dxa" w:w="200"/>
              <w:right w:type="dxa" w:w="400"/>
            </w:tcMar>
          </w:tcPr>
          <w:p>
            <w:pPr>
              <w:jc w:val="center"/>
            </w:pPr>
            <w:r>
              <w:rPr>
                <w:rFonts w:ascii="Arial" w:cs="Arial" w:eastAsia="Arial" w:hAnsi="Arial"/>
                <w:color w:val="1A1A2E"/>
                <w:sz w:val="22"/>
                <w:szCs w:val="22"/>
              </w:rPr>
              <w:t xml:space="preserve">Backbone: RETFound (ViT-Large, retinal foundation model)</w:t>
            </w:r>
          </w:p>
          <w:p>
            <w:pPr>
              <w:jc w:val="center"/>
            </w:pPr>
            <w:r>
              <w:rPr>
                <w:rFonts w:ascii="Arial" w:cs="Arial" w:eastAsia="Arial" w:hAnsi="Arial"/>
                <w:color w:val="1A1A2E"/>
                <w:sz w:val="22"/>
                <w:szCs w:val="22"/>
              </w:rPr>
              <w:t xml:space="preserve">Training: ~12,000 fundus images across 3 datasets</w:t>
            </w:r>
          </w:p>
          <w:p>
            <w:pPr>
              <w:jc w:val="center"/>
            </w:pPr>
            <w:r>
              <w:rPr>
                <w:rFonts w:ascii="Arial" w:cs="Arial" w:eastAsia="Arial" w:hAnsi="Arial"/>
                <w:color w:val="1A1A2E"/>
                <w:sz w:val="22"/>
                <w:szCs w:val="22"/>
              </w:rPr>
              <w:t xml:space="preserve">Output: 6 disease heads with RAG-generated clinical report</w:t>
            </w:r>
          </w:p>
          <w:p>
            <w:pPr>
              <w:jc w:val="center"/>
            </w:pPr>
            <w:r>
              <w:rPr>
                <w:rFonts w:ascii="Arial" w:cs="Arial" w:eastAsia="Arial" w:hAnsi="Arial"/>
                <w:color w:val="1A1A2E"/>
                <w:sz w:val="22"/>
                <w:szCs w:val="22"/>
              </w:rPr>
              <w:t xml:space="preserve">Validation: MESSIDOR-2 external generalization test</w:t>
            </w:r>
          </w:p>
        </w:tc>
      </w:tr>
    </w:tbl>
    <w:p>
      <w:pPr>
        <w:spacing w:after="0" w:before="120"/>
      </w:pPr>
      <w:r>
        <w:t xml:space="preserve"/>
      </w:r>
    </w:p>
    <w:p>
      <w:pPr>
        <w:jc w:val="center"/>
      </w:pPr>
      <w:r>
        <w:rPr>
          <w:rFonts w:ascii="Arial" w:cs="Arial" w:eastAsia="Arial" w:hAnsi="Arial"/>
          <w:i/>
          <w:iCs/>
          <w:color w:val="595959"/>
          <w:sz w:val="20"/>
          <w:szCs w:val="20"/>
        </w:rPr>
        <w:t xml:space="preserve">This document records every design decision made during project planning.</w:t>
      </w:r>
    </w:p>
    <w:p>
      <w:pPr>
        <w:jc w:val="center"/>
      </w:pPr>
      <w:r>
        <w:rPr>
          <w:rFonts w:ascii="Arial" w:cs="Arial" w:eastAsia="Arial" w:hAnsi="Arial"/>
          <w:i/>
          <w:iCs/>
          <w:color w:val="595959"/>
          <w:sz w:val="20"/>
          <w:szCs w:val="20"/>
        </w:rPr>
        <w:t xml:space="preserve">A reader with no access to planning conversations can understand the full project from this document alone.</w:t>
      </w:r>
    </w:p>
    <w:p>
      <w:pPr>
        <w:spacing w:after="0" w:before="12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1. Project Overview and Problem Statement</w:t>
      </w:r>
    </w:p>
    <w:p>
      <w:pPr>
        <w:pStyle w:val="Heading2"/>
        <w:spacing w:after="120" w:before="300"/>
      </w:pPr>
      <w:r>
        <w:rPr>
          <w:rFonts w:ascii="Arial" w:cs="Arial" w:eastAsia="Arial" w:hAnsi="Arial"/>
          <w:b/>
          <w:bCs/>
          <w:color w:val="2E75B6"/>
          <w:sz w:val="28"/>
          <w:szCs w:val="28"/>
        </w:rPr>
        <w:t xml:space="preserve">1.1 Clinical Motivation</w:t>
      </w:r>
    </w:p>
    <w:p>
      <w:pPr>
        <w:spacing w:after="100" w:before="80"/>
      </w:pPr>
      <w:r>
        <w:rPr>
          <w:rFonts w:ascii="Arial" w:cs="Arial" w:eastAsia="Arial" w:hAnsi="Arial"/>
          <w:color w:val="1A1A2E"/>
          <w:sz w:val="22"/>
          <w:szCs w:val="22"/>
        </w:rPr>
        <w:t xml:space="preserve">The retina is the only location in the human body where blood vessels and neural tissue can be observed non-invasively. Retinal fundus photography therefore provides a window not only into ocular disease but also into systemic conditions including diabetes, hypertension, and cardiovascular risk. This makes retinal image analysis one of the highest-value targets for medical AI.</w:t>
      </w:r>
    </w:p>
    <w:p>
      <w:pPr>
        <w:spacing w:after="100" w:before="80"/>
      </w:pPr>
      <w:r>
        <w:rPr>
          <w:rFonts w:ascii="Arial" w:cs="Arial" w:eastAsia="Arial" w:hAnsi="Arial"/>
          <w:color w:val="1A1A2E"/>
          <w:sz w:val="22"/>
          <w:szCs w:val="22"/>
        </w:rPr>
        <w:t xml:space="preserve">Existing clinical AI systems predominantly screen for a single disease in isolation. Real patients present with co-occurring conditions — diabetic patients frequently develop both diabetic retinopathy and hypertensive retinopathy simultaneously. A system that detects only one condition is clinically incomplete and may generate false reassurance by failing to flag co-pathology.</w:t>
      </w:r>
    </w:p>
    <w:p>
      <w:pPr>
        <w:pStyle w:val="Heading2"/>
        <w:spacing w:after="120" w:before="300"/>
      </w:pPr>
      <w:r>
        <w:rPr>
          <w:rFonts w:ascii="Arial" w:cs="Arial" w:eastAsia="Arial" w:hAnsi="Arial"/>
          <w:b/>
          <w:bCs/>
          <w:color w:val="2E75B6"/>
          <w:sz w:val="28"/>
          <w:szCs w:val="28"/>
        </w:rPr>
        <w:t xml:space="preserve">1.2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E8F4FD" w:val="clear"/>
            <w:tcMar>
              <w:top w:type="dxa" w:w="120"/>
              <w:left w:type="dxa" w:w="200"/>
              <w:bottom w:type="dxa" w:w="120"/>
              <w:right w:type="dxa" w:w="120"/>
            </w:tcMar>
          </w:tcPr>
          <w:p>
            <w:r>
              <w:rPr>
                <w:rFonts w:ascii="Arial" w:cs="Arial" w:eastAsia="Arial" w:hAnsi="Arial"/>
                <w:i/>
                <w:iCs/>
                <w:color w:val="1A1A2E"/>
                <w:sz w:val="22"/>
                <w:szCs w:val="22"/>
              </w:rPr>
              <w:t xml:space="preserve">Build a multi-disease retinal screening system that takes a single fundus photograph as input and simultaneously detects and grades six retinal conditions, producing a structured prediction object that feeds into a RAG-powered clinical report generator.</w:t>
            </w:r>
          </w:p>
        </w:tc>
      </w:tr>
    </w:tbl>
    <w:p>
      <w:pPr>
        <w:pStyle w:val="Heading2"/>
        <w:spacing w:after="120" w:before="300"/>
      </w:pPr>
      <w:r>
        <w:rPr>
          <w:rFonts w:ascii="Arial" w:cs="Arial" w:eastAsia="Arial" w:hAnsi="Arial"/>
          <w:b/>
          <w:bCs/>
          <w:color w:val="2E75B6"/>
          <w:sz w:val="28"/>
          <w:szCs w:val="28"/>
        </w:rPr>
        <w:t xml:space="preserve">1.3 Why This Project Stands Out</w:t>
      </w:r>
    </w:p>
    <w:p>
      <w:pPr>
        <w:pStyle w:val="ListParagraph"/>
        <w:numPr>
          <w:ilvl w:val="0"/>
          <w:numId w:val="2"/>
        </w:numPr>
        <w:spacing w:after="40" w:before="40"/>
      </w:pPr>
      <w:r>
        <w:rPr>
          <w:rFonts w:ascii="Arial" w:cs="Arial" w:eastAsia="Arial" w:hAnsi="Arial"/>
          <w:b/>
          <w:bCs/>
          <w:color w:val="1A1A2E"/>
          <w:sz w:val="22"/>
          <w:szCs w:val="22"/>
        </w:rPr>
        <w:t xml:space="preserve">Foundation model backbone: </w:t>
      </w:r>
      <w:r>
        <w:rPr>
          <w:rFonts w:ascii="Arial" w:cs="Arial" w:eastAsia="Arial" w:hAnsi="Arial"/>
          <w:color w:val="1A1A2E"/>
          <w:sz w:val="22"/>
          <w:szCs w:val="22"/>
        </w:rPr>
        <w:t xml:space="preserve">RETFound, pretrained on 1.6 million retinal images, is used instead of generic ViT or ResNet, reflecting genuine awareness of the research frontier.</w:t>
      </w:r>
    </w:p>
    <w:p>
      <w:pPr>
        <w:pStyle w:val="ListParagraph"/>
        <w:numPr>
          <w:ilvl w:val="0"/>
          <w:numId w:val="2"/>
        </w:numPr>
        <w:spacing w:after="40" w:before="40"/>
      </w:pPr>
      <w:r>
        <w:rPr>
          <w:rFonts w:ascii="Arial" w:cs="Arial" w:eastAsia="Arial" w:hAnsi="Arial"/>
          <w:b/>
          <w:bCs/>
          <w:color w:val="1A1A2E"/>
          <w:sz w:val="22"/>
          <w:szCs w:val="22"/>
        </w:rPr>
        <w:t xml:space="preserve">Multi-label clinical realism: </w:t>
      </w:r>
      <w:r>
        <w:rPr>
          <w:rFonts w:ascii="Arial" w:cs="Arial" w:eastAsia="Arial" w:hAnsi="Arial"/>
          <w:color w:val="1A1A2E"/>
          <w:sz w:val="22"/>
          <w:szCs w:val="22"/>
        </w:rPr>
        <w:t xml:space="preserve">Conditions are predicted simultaneously because co-occurrence is the clinical norm, not the exception.</w:t>
      </w:r>
    </w:p>
    <w:p>
      <w:pPr>
        <w:pStyle w:val="ListParagraph"/>
        <w:numPr>
          <w:ilvl w:val="0"/>
          <w:numId w:val="2"/>
        </w:numPr>
        <w:spacing w:after="40" w:before="40"/>
      </w:pPr>
      <w:r>
        <w:rPr>
          <w:rFonts w:ascii="Arial" w:cs="Arial" w:eastAsia="Arial" w:hAnsi="Arial"/>
          <w:b/>
          <w:bCs/>
          <w:color w:val="1A1A2E"/>
          <w:sz w:val="22"/>
          <w:szCs w:val="22"/>
        </w:rPr>
        <w:t xml:space="preserve">Research-grade evaluation: </w:t>
      </w:r>
      <w:r>
        <w:rPr>
          <w:rFonts w:ascii="Arial" w:cs="Arial" w:eastAsia="Arial" w:hAnsi="Arial"/>
          <w:color w:val="1A1A2E"/>
          <w:sz w:val="22"/>
          <w:szCs w:val="22"/>
        </w:rPr>
        <w:t xml:space="preserve">MESSIDOR-2 is used as a blind external generalization test, never seen during training, to demonstrate cross-domain robustness.</w:t>
      </w:r>
    </w:p>
    <w:p>
      <w:pPr>
        <w:pStyle w:val="ListParagraph"/>
        <w:numPr>
          <w:ilvl w:val="0"/>
          <w:numId w:val="2"/>
        </w:numPr>
        <w:spacing w:after="40" w:before="40"/>
      </w:pPr>
      <w:r>
        <w:rPr>
          <w:rFonts w:ascii="Arial" w:cs="Arial" w:eastAsia="Arial" w:hAnsi="Arial"/>
          <w:b/>
          <w:bCs/>
          <w:color w:val="1A1A2E"/>
          <w:sz w:val="22"/>
          <w:szCs w:val="22"/>
        </w:rPr>
        <w:t xml:space="preserve">End-to-end system: </w:t>
      </w:r>
      <w:r>
        <w:rPr>
          <w:rFonts w:ascii="Arial" w:cs="Arial" w:eastAsia="Arial" w:hAnsi="Arial"/>
          <w:color w:val="1A1A2E"/>
          <w:sz w:val="22"/>
          <w:szCs w:val="22"/>
        </w:rPr>
        <w:t xml:space="preserve">The model output feeds a RAG report generator, bridging the gap between prediction and clinically usable output — the primary open challenge in medical AI deployment.</w:t>
      </w:r>
    </w:p>
    <w:p>
      <w:pPr>
        <w:pStyle w:val="ListParagraph"/>
        <w:numPr>
          <w:ilvl w:val="0"/>
          <w:numId w:val="2"/>
        </w:numPr>
        <w:spacing w:after="40" w:before="40"/>
      </w:pPr>
      <w:r>
        <w:rPr>
          <w:rFonts w:ascii="Arial" w:cs="Arial" w:eastAsia="Arial" w:hAnsi="Arial"/>
          <w:b/>
          <w:bCs/>
          <w:color w:val="1A1A2E"/>
          <w:sz w:val="22"/>
          <w:szCs w:val="22"/>
        </w:rPr>
        <w:t xml:space="preserve">Methodological rigor: </w:t>
      </w:r>
      <w:r>
        <w:rPr>
          <w:rFonts w:ascii="Arial" w:cs="Arial" w:eastAsia="Arial" w:hAnsi="Arial"/>
          <w:color w:val="1A1A2E"/>
          <w:sz w:val="22"/>
          <w:szCs w:val="22"/>
        </w:rPr>
        <w:t xml:space="preserve">Masked loss, patient-level splitting, ordinal regression, and calibration measurement are all included — these are research-grade design decisions rarely seen in student capstone work.</w:t>
      </w:r>
    </w:p>
    <w:p>
      <w:pPr>
        <w:pStyle w:val="Heading2"/>
        <w:spacing w:after="120" w:before="300"/>
      </w:pPr>
      <w:r>
        <w:rPr>
          <w:rFonts w:ascii="Arial" w:cs="Arial" w:eastAsia="Arial" w:hAnsi="Arial"/>
          <w:b/>
          <w:bCs/>
          <w:color w:val="2E75B6"/>
          <w:sz w:val="28"/>
          <w:szCs w:val="28"/>
        </w:rPr>
        <w:t xml:space="preserve">1.4 Scope Boundaries</w:t>
      </w:r>
    </w:p>
    <w:p>
      <w:pPr>
        <w:spacing w:after="100" w:before="80"/>
      </w:pPr>
      <w:r>
        <w:rPr>
          <w:rFonts w:ascii="Arial" w:cs="Arial" w:eastAsia="Arial" w:hAnsi="Arial"/>
          <w:color w:val="1A1A2E"/>
          <w:sz w:val="22"/>
          <w:szCs w:val="22"/>
        </w:rPr>
        <w:t xml:space="preserve">In scope: fundus image classification and grading, RAG-generated clinical reports, explainability via attention visualization, external domain generalization testing.</w:t>
      </w:r>
    </w:p>
    <w:p>
      <w:pPr>
        <w:spacing w:after="100" w:before="80"/>
      </w:pPr>
      <w:r>
        <w:rPr>
          <w:rFonts w:ascii="Arial" w:cs="Arial" w:eastAsia="Arial" w:hAnsi="Arial"/>
          <w:color w:val="1A1A2E"/>
          <w:sz w:val="22"/>
          <w:szCs w:val="22"/>
        </w:rPr>
        <w:t xml:space="preserve">Out of scope (intentionally deferred): OCT imaging, deployment infrastructure, clinical trial validation, RAG knowledge base construction (handled separately after ViT training completes).</w:t>
      </w:r>
    </w:p>
    <w:p>
      <w:pPr>
        <w:spacing w:after="0" w:before="6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2. Dataset Decisions</w:t>
      </w:r>
    </w:p>
    <w:p>
      <w:pPr>
        <w:pStyle w:val="Heading2"/>
        <w:spacing w:after="120" w:before="300"/>
      </w:pPr>
      <w:r>
        <w:rPr>
          <w:rFonts w:ascii="Arial" w:cs="Arial" w:eastAsia="Arial" w:hAnsi="Arial"/>
          <w:b/>
          <w:bCs/>
          <w:color w:val="2E75B6"/>
          <w:sz w:val="28"/>
          <w:szCs w:val="28"/>
        </w:rPr>
        <w:t xml:space="preserve">2.1 Training Datasets</w:t>
      </w:r>
    </w:p>
    <w:p>
      <w:pPr>
        <w:spacing w:after="100" w:before="80"/>
      </w:pPr>
      <w:r>
        <w:rPr>
          <w:rFonts w:ascii="Arial" w:cs="Arial" w:eastAsia="Arial" w:hAnsi="Arial"/>
          <w:color w:val="1A1A2E"/>
          <w:sz w:val="22"/>
          <w:szCs w:val="22"/>
        </w:rPr>
        <w:t xml:space="preserve">Three training datasets were selected to balance multi-disease breadth, DR grading depth, and overall image volume. A fourth dataset is reserved exclusively for external validation.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00"/>
        <w:gridCol w:w="1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Dataset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~Images (Train)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Disease Labels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Split Level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RFMiD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Training (anchor)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~3,200 (all 3 splits pooled)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46 conditions, multi-label</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Patient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ODIR-5K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8 conditions, bilateral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Patient ID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APTOS 2019</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Training</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~3,600</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DR grade only (0–4)</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Patient ID</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MESSIDOR-2</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External validation ONLY</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~1,700</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DR (blind test)</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N/A — never trained</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TOTAL TRAINING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~13,200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Unified 6-label taxonomy</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Always by patient</w:t>
            </w:r>
          </w:p>
        </w:tc>
      </w:tr>
    </w:tbl>
    <w:p>
      <w:pPr>
        <w:spacing w:after="0" w:before="60"/>
      </w:pPr>
      <w:r>
        <w:t xml:space="preserve"/>
      </w:r>
    </w:p>
    <w:p>
      <w:pPr>
        <w:pStyle w:val="Heading3"/>
        <w:spacing w:after="80" w:before="200"/>
      </w:pPr>
      <w:r>
        <w:rPr>
          <w:rFonts w:ascii="Arial" w:cs="Arial" w:eastAsia="Arial" w:hAnsi="Arial"/>
          <w:b/>
          <w:bCs/>
          <w:color w:val="1A1A2E"/>
          <w:sz w:val="24"/>
          <w:szCs w:val="24"/>
        </w:rPr>
        <w:t xml:space="preserve">RFMiD — Anchor Dataset</w:t>
      </w:r>
    </w:p>
    <w:p>
      <w:pPr>
        <w:spacing w:after="100" w:before="80"/>
      </w:pPr>
      <w:r>
        <w:rPr>
          <w:rFonts w:ascii="Arial" w:cs="Arial" w:eastAsia="Arial" w:hAnsi="Arial"/>
          <w:color w:val="1A1A2E"/>
          <w:sz w:val="22"/>
          <w:szCs w:val="22"/>
        </w:rPr>
        <w:t xml:space="preserve">RFMiD (Retinal Fundus Multi-disease Image Dataset, 2021, Nature Scientific Data) contains 3,200 fundus images across 46 retinal conditions with multi-label annotations, meaning a single image can carry multiple disease flags simultaneously. This multi-label structure is the primary reason it serves as the project anchor — it directly reflects clinical reality where patients present with co-occurring conditions.</w:t>
      </w:r>
    </w:p>
    <w:p>
      <w:pPr>
        <w:spacing w:after="100" w:before="80"/>
      </w:pPr>
      <w:r>
        <w:rPr>
          <w:rFonts w:ascii="Arial" w:cs="Arial" w:eastAsia="Arial" w:hAnsi="Arial"/>
          <w:color w:val="1A1A2E"/>
          <w:sz w:val="22"/>
          <w:szCs w:val="22"/>
        </w:rPr>
        <w:t xml:space="preserve">RFMiD is released with three pre-labeled splits — Training (1,920), Validation (640), and Testing (640) — all with complete ground truth for all 46 conditions. All three splits are pooled and re-split by patient ID into the project's unified train/validation partition. This is the correct approach because the original splits were not constructed with the project's multi-dataset patient-level split requirement in mind. Total usable images from RFMiD: 3,200.</w:t>
      </w:r>
    </w:p>
    <w:p>
      <w:pPr>
        <w:pStyle w:val="Heading3"/>
        <w:spacing w:after="80" w:before="200"/>
      </w:pPr>
      <w:r>
        <w:rPr>
          <w:rFonts w:ascii="Arial" w:cs="Arial" w:eastAsia="Arial" w:hAnsi="Arial"/>
          <w:b/>
          <w:bCs/>
          <w:color w:val="1A1A2E"/>
          <w:sz w:val="24"/>
          <w:szCs w:val="24"/>
        </w:rPr>
        <w:t xml:space="preserve">ODIR-5K</w:t>
      </w:r>
    </w:p>
    <w:p>
      <w:pPr>
        <w:spacing w:after="100" w:before="80"/>
      </w:pPr>
      <w:r>
        <w:rPr>
          <w:rFonts w:ascii="Arial" w:cs="Arial" w:eastAsia="Arial" w:hAnsi="Arial"/>
          <w:color w:val="1A1A2E"/>
          <w:sz w:val="22"/>
          <w:szCs w:val="22"/>
        </w:rPr>
        <w:t xml:space="preserve">ODIR-5K (Ocular Disease Intelligent Recognition) contains 5,000 patients with bilateral fundus images — both left and right eyes — annotated across 8 disease categories: Normal, Diabetes, Glaucoma, Cataract, AMD, Hypertension, Myopia, and Other diseases. Approximately 6,400 images fall in the training split.</w:t>
      </w:r>
    </w:p>
    <w:p>
      <w:pPr>
        <w:spacing w:after="100" w:before="80"/>
      </w:pPr>
      <w:r>
        <w:rPr>
          <w:rFonts w:ascii="Arial" w:cs="Arial" w:eastAsia="Arial" w:hAnsi="Arial"/>
          <w:color w:val="1A1A2E"/>
          <w:sz w:val="22"/>
          <w:szCs w:val="22"/>
        </w:rPr>
        <w:t xml:space="preserve">The bilateral structure is clinically meaningful but introduces a data leakage risk: if images from the same patient appear in both training and validation sets, validation metrics will be inflated. This is addressed by the patient-level split rule (see Section 2.5). The Cataract, Myopia, and Other labels are dropped from the unified taxonomy — Cataract has no retinal fundus signature, Pathologic Myopia lacks cross-dataset counterparts, and Other is noise.</w:t>
      </w:r>
    </w:p>
    <w:p>
      <w:pPr>
        <w:pStyle w:val="Heading3"/>
        <w:spacing w:after="80" w:before="200"/>
      </w:pPr>
      <w:r>
        <w:rPr>
          <w:rFonts w:ascii="Arial" w:cs="Arial" w:eastAsia="Arial" w:hAnsi="Arial"/>
          <w:b/>
          <w:bCs/>
          <w:color w:val="1A1A2E"/>
          <w:sz w:val="24"/>
          <w:szCs w:val="24"/>
        </w:rPr>
        <w:t xml:space="preserve">APTOS 2019</w:t>
      </w:r>
    </w:p>
    <w:p>
      <w:pPr>
        <w:spacing w:after="100" w:before="80"/>
      </w:pPr>
      <w:r>
        <w:rPr>
          <w:rFonts w:ascii="Arial" w:cs="Arial" w:eastAsia="Arial" w:hAnsi="Arial"/>
          <w:color w:val="1A1A2E"/>
          <w:sz w:val="22"/>
          <w:szCs w:val="22"/>
        </w:rPr>
        <w:t xml:space="preserve">APTOS 2019 (Kaggle Diabetic Retinopathy Detection) contains 3,662 fundus images with five-class DR severity grades (0=No DR, 1=Mild, 2=Moderate, 3=Severe, 4=Proliferative DR). It is included specifically to provide DR grading depth — neither RFMiD nor ODIR provides five-class DR severity, only binary DR presence.</w:t>
      </w:r>
    </w:p>
    <w:p>
      <w:pPr>
        <w:spacing w:after="100" w:before="80"/>
      </w:pPr>
      <w:r>
        <w:rPr>
          <w:rFonts w:ascii="Arial" w:cs="Arial" w:eastAsia="Arial" w:hAnsi="Arial"/>
          <w:color w:val="1A1A2E"/>
          <w:sz w:val="22"/>
          <w:szCs w:val="22"/>
        </w:rPr>
        <w:t xml:space="preserve">APTOS images carry labels only for DR. They do not have annotations for glaucoma, AMD, or hypertensive retinopathy. Crucially, APTOS grade 0 (No DR) does not mean the patient has no other disease — they may have glaucoma or AMD. Therefore APTOS images cannot contribute to the Normal label. This is handled by masked loss on all non-DR heads for APTOS images.</w:t>
      </w:r>
    </w:p>
    <w:p>
      <w:pPr>
        <w:pStyle w:val="Heading3"/>
        <w:spacing w:after="80" w:before="200"/>
      </w:pPr>
      <w:r>
        <w:rPr>
          <w:rFonts w:ascii="Arial" w:cs="Arial" w:eastAsia="Arial" w:hAnsi="Arial"/>
          <w:b/>
          <w:bCs/>
          <w:color w:val="1A1A2E"/>
          <w:sz w:val="24"/>
          <w:szCs w:val="24"/>
        </w:rPr>
        <w:t xml:space="preserve">MESSIDOR-2 — External Validation Only</w:t>
      </w:r>
    </w:p>
    <w:p>
      <w:pPr>
        <w:spacing w:after="100" w:before="80"/>
      </w:pPr>
      <w:r>
        <w:rPr>
          <w:rFonts w:ascii="Arial" w:cs="Arial" w:eastAsia="Arial" w:hAnsi="Arial"/>
          <w:color w:val="1A1A2E"/>
          <w:sz w:val="22"/>
          <w:szCs w:val="22"/>
        </w:rPr>
        <w:t xml:space="preserve">MESSIDOR-2 was collected in France under a different clinical protocol and with different imaging equipment than any of the three training datasets. It contains approximately 1,700 images graded for DR severity. It is never used during training or validation. A single blind evaluation pass is run after training is complete. This design tests domain generalization: does the model retain performance when applied to a completely different acquisition environment?</w:t>
      </w:r>
    </w:p>
    <w:p>
      <w:pPr>
        <w:pStyle w:val="Heading2"/>
        <w:spacing w:after="120" w:before="300"/>
      </w:pPr>
      <w:r>
        <w:rPr>
          <w:rFonts w:ascii="Arial" w:cs="Arial" w:eastAsia="Arial" w:hAnsi="Arial"/>
          <w:b/>
          <w:bCs/>
          <w:color w:val="2E75B6"/>
          <w:sz w:val="28"/>
          <w:szCs w:val="28"/>
        </w:rPr>
        <w:t xml:space="preserve">2.2 Unified Disease Taxonomy</w:t>
      </w:r>
    </w:p>
    <w:p>
      <w:pPr>
        <w:spacing w:after="100" w:before="80"/>
      </w:pPr>
      <w:r>
        <w:rPr>
          <w:rFonts w:ascii="Arial" w:cs="Arial" w:eastAsia="Arial" w:hAnsi="Arial"/>
          <w:color w:val="1A1A2E"/>
          <w:sz w:val="22"/>
          <w:szCs w:val="22"/>
        </w:rPr>
        <w:t xml:space="preserve">The following taxonomy defines all prediction targets. It was designed to be the intersection of what can be meaningfully learned from the available data. Every architecture and training decision downstream is derived from this 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
        <w:gridCol w:w="900"/>
        <w:gridCol w:w="900"/>
        <w:gridCol w:w="1200"/>
        <w:gridCol w:w="2160"/>
        <w:gridCol w:w="15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Task Type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RFMiD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ODIR-5K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APTOS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Masked Loss?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Row Note</w:t>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1</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18"/>
                <w:szCs w:val="18"/>
              </w:rPr>
              <w:t xml:space="preserve">DR Presence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Binary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 (grade&gt;0)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No — all three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
            </w:r>
          </w:p>
        </w:tc>
      </w:tr>
      <w:tr>
        <w:tc>
          <w:tcPr>
            <w:tcW w:type="dxa" w:w="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2</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bCs/>
                <w:color w:val="1A1A2E"/>
                <w:sz w:val="18"/>
                <w:szCs w:val="18"/>
              </w:rPr>
              <w:t xml:space="preserve">DR Severity Grade</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Ordinal 0–4</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2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Yes — mask RFMiD &amp; ODIR</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3</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18"/>
                <w:szCs w:val="18"/>
              </w:rPr>
              <w:t xml:space="preserve">Glaucoma</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Binary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Yes — mask APTOS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4</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18"/>
                <w:szCs w:val="18"/>
              </w:rPr>
              <w:t xml:space="preserve">AMD</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Binary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Yes — mask APTOS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5</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18"/>
                <w:szCs w:val="18"/>
              </w:rPr>
              <w:t xml:space="preserve">Hyp. Retinopathy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Binary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Yes — mask APTOS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
            </w:r>
          </w:p>
        </w:tc>
      </w:tr>
      <w:tr>
        <w:tc>
          <w:tcPr>
            <w:tcW w:type="dxa" w:w="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6</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18"/>
                <w:szCs w:val="18"/>
              </w:rPr>
              <w:t xml:space="preserve">Normal / No Disease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Binary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Yes — mask APTOS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1A1A2E"/>
                <w:sz w:val="18"/>
                <w:szCs w:val="18"/>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E8F4FD" w:val="clear"/>
            <w:tcMar>
              <w:top w:type="dxa" w:w="120"/>
              <w:left w:type="dxa" w:w="200"/>
              <w:bottom w:type="dxa" w:w="120"/>
              <w:right w:type="dxa" w:w="120"/>
            </w:tcMar>
          </w:tcPr>
          <w:p>
            <w:r>
              <w:rPr>
                <w:rFonts w:ascii="Arial" w:cs="Arial" w:eastAsia="Arial" w:hAnsi="Arial"/>
                <w:i/>
                <w:iCs/>
                <w:color w:val="1A1A2E"/>
                <w:sz w:val="22"/>
                <w:szCs w:val="22"/>
              </w:rPr>
              <w:t xml:space="preserve">* ODIR Hypertension label: ODIR assigns the Hypertension label from patient medical records, not purely from fundus findings. This mapping to Hypertensive Retinopathy is usable for training but must be explicitly documented as an imperfect mapping in the methodology section.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E8F4FD" w:val="clear"/>
            <w:tcMar>
              <w:top w:type="dxa" w:w="120"/>
              <w:left w:type="dxa" w:w="200"/>
              <w:bottom w:type="dxa" w:w="120"/>
              <w:right w:type="dxa" w:w="120"/>
            </w:tcMar>
          </w:tcPr>
          <w:p>
            <w:r>
              <w:rPr>
                <w:rFonts w:ascii="Arial" w:cs="Arial" w:eastAsia="Arial" w:hAnsi="Arial"/>
                <w:i/>
                <w:iCs/>
                <w:color w:val="1A1A2E"/>
                <w:sz w:val="22"/>
                <w:szCs w:val="22"/>
              </w:rPr>
              <w:t xml:space="preserve">APTOS grade 0 ≠ Normal. Grade 0 means no DR is present. The patient may still have glaucoma or AMD. APTOS images must never contribute to the Normal head. Masked loss handles this — APTOS images are masked on all heads except DR Presence and DR Severity.</w:t>
            </w:r>
          </w:p>
        </w:tc>
      </w:tr>
    </w:tbl>
    <w:p>
      <w:pPr>
        <w:pStyle w:val="Heading2"/>
        <w:spacing w:after="120" w:before="300"/>
      </w:pPr>
      <w:r>
        <w:rPr>
          <w:rFonts w:ascii="Arial" w:cs="Arial" w:eastAsia="Arial" w:hAnsi="Arial"/>
          <w:b/>
          <w:bCs/>
          <w:color w:val="2E75B6"/>
          <w:sz w:val="28"/>
          <w:szCs w:val="28"/>
        </w:rPr>
        <w:t xml:space="preserve">2.3 Label Harmonization Strategy</w:t>
      </w:r>
    </w:p>
    <w:p>
      <w:pPr>
        <w:spacing w:after="100" w:before="80"/>
      </w:pPr>
      <w:r>
        <w:rPr>
          <w:rFonts w:ascii="Arial" w:cs="Arial" w:eastAsia="Arial" w:hAnsi="Arial"/>
          <w:color w:val="1A1A2E"/>
          <w:sz w:val="22"/>
          <w:szCs w:val="22"/>
        </w:rPr>
        <w:t xml:space="preserve">Each dataset uses a different label schema. Harmonization requires explicit mapping decisions before any training pipeline can be built.</w:t>
      </w:r>
    </w:p>
    <w:p>
      <w:pPr>
        <w:pStyle w:val="ListParagraph"/>
        <w:numPr>
          <w:ilvl w:val="0"/>
          <w:numId w:val="2"/>
        </w:numPr>
        <w:spacing w:after="40" w:before="40"/>
      </w:pPr>
      <w:r>
        <w:rPr>
          <w:rFonts w:ascii="Arial" w:cs="Arial" w:eastAsia="Arial" w:hAnsi="Arial"/>
          <w:b/>
          <w:bCs/>
          <w:color w:val="1A1A2E"/>
          <w:sz w:val="22"/>
          <w:szCs w:val="22"/>
        </w:rPr>
        <w:t xml:space="preserve">DR Presence (all three datasets): </w:t>
      </w:r>
      <w:r>
        <w:rPr>
          <w:rFonts w:ascii="Arial" w:cs="Arial" w:eastAsia="Arial" w:hAnsi="Arial"/>
          <w:color w:val="1A1A2E"/>
          <w:sz w:val="22"/>
          <w:szCs w:val="22"/>
        </w:rPr>
        <w:t xml:space="preserve">APTOS grade &gt; 0 maps to DR Presence positive. ODIR Diabetes label maps to DR Presence positive. RFMiD DR flag maps directly.</w:t>
      </w:r>
    </w:p>
    <w:p>
      <w:pPr>
        <w:pStyle w:val="ListParagraph"/>
        <w:numPr>
          <w:ilvl w:val="0"/>
          <w:numId w:val="2"/>
        </w:numPr>
        <w:spacing w:after="40" w:before="40"/>
      </w:pPr>
      <w:r>
        <w:rPr>
          <w:rFonts w:ascii="Arial" w:cs="Arial" w:eastAsia="Arial" w:hAnsi="Arial"/>
          <w:b/>
          <w:bCs/>
          <w:color w:val="1A1A2E"/>
          <w:sz w:val="22"/>
          <w:szCs w:val="22"/>
        </w:rPr>
        <w:t xml:space="preserve">DR Severity (APTOS only): </w:t>
      </w:r>
      <w:r>
        <w:rPr>
          <w:rFonts w:ascii="Arial" w:cs="Arial" w:eastAsia="Arial" w:hAnsi="Arial"/>
          <w:color w:val="1A1A2E"/>
          <w:sz w:val="22"/>
          <w:szCs w:val="22"/>
        </w:rPr>
        <w:t xml:space="preserve">APTOS grades 0–4 map directly to the ordinal severity scale. RFMiD and ODIR images are masked on this head — they contribute no gradient to DR severity grading.</w:t>
      </w:r>
    </w:p>
    <w:p>
      <w:pPr>
        <w:pStyle w:val="ListParagraph"/>
        <w:numPr>
          <w:ilvl w:val="0"/>
          <w:numId w:val="2"/>
        </w:numPr>
        <w:spacing w:after="40" w:before="40"/>
      </w:pPr>
      <w:r>
        <w:rPr>
          <w:rFonts w:ascii="Arial" w:cs="Arial" w:eastAsia="Arial" w:hAnsi="Arial"/>
          <w:b/>
          <w:bCs/>
          <w:color w:val="1A1A2E"/>
          <w:sz w:val="22"/>
          <w:szCs w:val="22"/>
        </w:rPr>
        <w:t xml:space="preserve">Glaucoma (RFMiD + ODIR): </w:t>
      </w:r>
      <w:r>
        <w:rPr>
          <w:rFonts w:ascii="Arial" w:cs="Arial" w:eastAsia="Arial" w:hAnsi="Arial"/>
          <w:color w:val="1A1A2E"/>
          <w:sz w:val="22"/>
          <w:szCs w:val="22"/>
        </w:rPr>
        <w:t xml:space="preserve">Both use a binary glaucoma flag. Maps directly. APTOS images are masked.</w:t>
      </w:r>
    </w:p>
    <w:p>
      <w:pPr>
        <w:pStyle w:val="ListParagraph"/>
        <w:numPr>
          <w:ilvl w:val="0"/>
          <w:numId w:val="2"/>
        </w:numPr>
        <w:spacing w:after="40" w:before="40"/>
      </w:pPr>
      <w:r>
        <w:rPr>
          <w:rFonts w:ascii="Arial" w:cs="Arial" w:eastAsia="Arial" w:hAnsi="Arial"/>
          <w:b/>
          <w:bCs/>
          <w:color w:val="1A1A2E"/>
          <w:sz w:val="22"/>
          <w:szCs w:val="22"/>
        </w:rPr>
        <w:t xml:space="preserve">AMD (RFMiD + ODIR): </w:t>
      </w:r>
      <w:r>
        <w:rPr>
          <w:rFonts w:ascii="Arial" w:cs="Arial" w:eastAsia="Arial" w:hAnsi="Arial"/>
          <w:color w:val="1A1A2E"/>
          <w:sz w:val="22"/>
          <w:szCs w:val="22"/>
        </w:rPr>
        <w:t xml:space="preserve">Both have AMD labels. Maps directly. APTOS images are masked.</w:t>
      </w:r>
    </w:p>
    <w:p>
      <w:pPr>
        <w:pStyle w:val="ListParagraph"/>
        <w:numPr>
          <w:ilvl w:val="0"/>
          <w:numId w:val="2"/>
        </w:numPr>
        <w:spacing w:after="40" w:before="40"/>
      </w:pPr>
      <w:r>
        <w:rPr>
          <w:rFonts w:ascii="Arial" w:cs="Arial" w:eastAsia="Arial" w:hAnsi="Arial"/>
          <w:b/>
          <w:bCs/>
          <w:color w:val="1A1A2E"/>
          <w:sz w:val="22"/>
          <w:szCs w:val="22"/>
        </w:rPr>
        <w:t xml:space="preserve">Hypertensive Retinopathy (RFMiD + ODIR): </w:t>
      </w:r>
      <w:r>
        <w:rPr>
          <w:rFonts w:ascii="Arial" w:cs="Arial" w:eastAsia="Arial" w:hAnsi="Arial"/>
          <w:color w:val="1A1A2E"/>
          <w:sz w:val="22"/>
          <w:szCs w:val="22"/>
        </w:rPr>
        <w:t xml:space="preserve">RFMiD has an explicit hypertensive retinopathy label. ODIR Hypertension maps to this with the documented caveat above.</w:t>
      </w:r>
    </w:p>
    <w:p>
      <w:pPr>
        <w:pStyle w:val="ListParagraph"/>
        <w:numPr>
          <w:ilvl w:val="0"/>
          <w:numId w:val="2"/>
        </w:numPr>
        <w:spacing w:after="40" w:before="40"/>
      </w:pPr>
      <w:r>
        <w:rPr>
          <w:rFonts w:ascii="Arial" w:cs="Arial" w:eastAsia="Arial" w:hAnsi="Arial"/>
          <w:b/>
          <w:bCs/>
          <w:color w:val="1A1A2E"/>
          <w:sz w:val="22"/>
          <w:szCs w:val="22"/>
        </w:rPr>
        <w:t xml:space="preserve">Normal (RFMiD + ODIR): </w:t>
      </w:r>
      <w:r>
        <w:rPr>
          <w:rFonts w:ascii="Arial" w:cs="Arial" w:eastAsia="Arial" w:hAnsi="Arial"/>
          <w:color w:val="1A1A2E"/>
          <w:sz w:val="22"/>
          <w:szCs w:val="22"/>
        </w:rPr>
        <w:t xml:space="preserve">Both have a Normal/No Disease class. Maps directly. APTOS images are masked entirely from this head.</w:t>
      </w:r>
    </w:p>
    <w:p>
      <w:pPr>
        <w:pStyle w:val="Heading2"/>
        <w:spacing w:after="120" w:before="300"/>
      </w:pPr>
      <w:r>
        <w:rPr>
          <w:rFonts w:ascii="Arial" w:cs="Arial" w:eastAsia="Arial" w:hAnsi="Arial"/>
          <w:b/>
          <w:bCs/>
          <w:color w:val="2E75B6"/>
          <w:sz w:val="28"/>
          <w:szCs w:val="28"/>
        </w:rPr>
        <w:t xml:space="preserve">2.4 Approximate Image Counts</w:t>
      </w:r>
    </w:p>
    <w:p>
      <w:pPr>
        <w:pStyle w:val="ListParagraph"/>
        <w:numPr>
          <w:ilvl w:val="0"/>
          <w:numId w:val="2"/>
        </w:numPr>
        <w:spacing w:after="40" w:before="40"/>
      </w:pPr>
      <w:r>
        <w:rPr>
          <w:rFonts w:ascii="Arial" w:cs="Arial" w:eastAsia="Arial" w:hAnsi="Arial"/>
          <w:b/>
          <w:bCs/>
          <w:color w:val="1A1A2E"/>
          <w:sz w:val="22"/>
          <w:szCs w:val="22"/>
        </w:rPr>
        <w:t xml:space="preserve">RFMiD total images (all splits pooled): </w:t>
      </w:r>
      <w:r>
        <w:rPr>
          <w:rFonts w:ascii="Arial" w:cs="Arial" w:eastAsia="Arial" w:hAnsi="Arial"/>
          <w:color w:val="1A1A2E"/>
          <w:sz w:val="22"/>
          <w:szCs w:val="22"/>
        </w:rPr>
        <w:t xml:space="preserve">~3,200</w:t>
      </w:r>
    </w:p>
    <w:p>
      <w:pPr>
        <w:pStyle w:val="ListParagraph"/>
        <w:numPr>
          <w:ilvl w:val="0"/>
          <w:numId w:val="2"/>
        </w:numPr>
        <w:spacing w:after="40" w:before="40"/>
      </w:pPr>
      <w:r>
        <w:rPr>
          <w:rFonts w:ascii="Arial" w:cs="Arial" w:eastAsia="Arial" w:hAnsi="Arial"/>
          <w:b/>
          <w:bCs/>
          <w:color w:val="1A1A2E"/>
          <w:sz w:val="22"/>
          <w:szCs w:val="22"/>
        </w:rPr>
        <w:t xml:space="preserve">ODIR-5K training images: </w:t>
      </w:r>
      <w:r>
        <w:rPr>
          <w:rFonts w:ascii="Arial" w:cs="Arial" w:eastAsia="Arial" w:hAnsi="Arial"/>
          <w:color w:val="1A1A2E"/>
          <w:sz w:val="22"/>
          <w:szCs w:val="22"/>
        </w:rPr>
        <w:t xml:space="preserve">~6,400 (bilateral images; patient-level split)</w:t>
      </w:r>
    </w:p>
    <w:p>
      <w:pPr>
        <w:pStyle w:val="ListParagraph"/>
        <w:numPr>
          <w:ilvl w:val="0"/>
          <w:numId w:val="2"/>
        </w:numPr>
        <w:spacing w:after="40" w:before="40"/>
      </w:pPr>
      <w:r>
        <w:rPr>
          <w:rFonts w:ascii="Arial" w:cs="Arial" w:eastAsia="Arial" w:hAnsi="Arial"/>
          <w:b/>
          <w:bCs/>
          <w:color w:val="1A1A2E"/>
          <w:sz w:val="22"/>
          <w:szCs w:val="22"/>
        </w:rPr>
        <w:t xml:space="preserve">APTOS 2019 training images: </w:t>
      </w:r>
      <w:r>
        <w:rPr>
          <w:rFonts w:ascii="Arial" w:cs="Arial" w:eastAsia="Arial" w:hAnsi="Arial"/>
          <w:color w:val="1A1A2E"/>
          <w:sz w:val="22"/>
          <w:szCs w:val="22"/>
        </w:rPr>
        <w:t xml:space="preserve">~3,600</w:t>
      </w:r>
    </w:p>
    <w:p>
      <w:pPr>
        <w:pStyle w:val="ListParagraph"/>
        <w:numPr>
          <w:ilvl w:val="0"/>
          <w:numId w:val="2"/>
        </w:numPr>
        <w:spacing w:after="40" w:before="40"/>
      </w:pPr>
      <w:r>
        <w:rPr>
          <w:rFonts w:ascii="Arial" w:cs="Arial" w:eastAsia="Arial" w:hAnsi="Arial"/>
          <w:b/>
          <w:bCs/>
          <w:color w:val="1A1A2E"/>
          <w:sz w:val="22"/>
          <w:szCs w:val="22"/>
        </w:rPr>
        <w:t xml:space="preserve">Total training corpus: </w:t>
      </w:r>
      <w:r>
        <w:rPr>
          <w:rFonts w:ascii="Arial" w:cs="Arial" w:eastAsia="Arial" w:hAnsi="Arial"/>
          <w:color w:val="1A1A2E"/>
          <w:sz w:val="22"/>
          <w:szCs w:val="22"/>
        </w:rPr>
        <w:t xml:space="preserve">~13,200 images</w:t>
      </w:r>
    </w:p>
    <w:p>
      <w:pPr>
        <w:pStyle w:val="ListParagraph"/>
        <w:numPr>
          <w:ilvl w:val="0"/>
          <w:numId w:val="2"/>
        </w:numPr>
        <w:spacing w:after="40" w:before="40"/>
      </w:pPr>
      <w:r>
        <w:rPr>
          <w:rFonts w:ascii="Arial" w:cs="Arial" w:eastAsia="Arial" w:hAnsi="Arial"/>
          <w:b/>
          <w:bCs/>
          <w:color w:val="1A1A2E"/>
          <w:sz w:val="22"/>
          <w:szCs w:val="22"/>
        </w:rPr>
        <w:t xml:space="preserve">MESSIDOR-2 (test only): </w:t>
      </w:r>
      <w:r>
        <w:rPr>
          <w:rFonts w:ascii="Arial" w:cs="Arial" w:eastAsia="Arial" w:hAnsi="Arial"/>
          <w:color w:val="1A1A2E"/>
          <w:sz w:val="22"/>
          <w:szCs w:val="22"/>
        </w:rPr>
        <w:t xml:space="preserve">~1,700 images, never in training</w:t>
      </w:r>
    </w:p>
    <w:p>
      <w:pPr>
        <w:spacing w:after="100" w:before="80"/>
      </w:pPr>
      <w:r>
        <w:rPr>
          <w:rFonts w:ascii="Arial" w:cs="Arial" w:eastAsia="Arial" w:hAnsi="Arial"/>
          <w:color w:val="1A1A2E"/>
          <w:sz w:val="22"/>
          <w:szCs w:val="22"/>
        </w:rPr>
        <w:t xml:space="preserve">When presenting the project: 'Trained on approximately 13,200 retinal fundus images across a unified multi-disease corpus, with external validation on an independent dataset of 1,700 images from a separate clinical protocol.'</w:t>
      </w:r>
    </w:p>
    <w:p>
      <w:pPr>
        <w:pStyle w:val="Heading2"/>
        <w:spacing w:after="120" w:before="300"/>
      </w:pPr>
      <w:r>
        <w:rPr>
          <w:rFonts w:ascii="Arial" w:cs="Arial" w:eastAsia="Arial" w:hAnsi="Arial"/>
          <w:b/>
          <w:bCs/>
          <w:color w:val="2E75B6"/>
          <w:sz w:val="28"/>
          <w:szCs w:val="28"/>
        </w:rPr>
        <w:t xml:space="preserve">2.5 Patient-Level Split Rule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E8F4FD" w:val="clear"/>
            <w:tcMar>
              <w:top w:type="dxa" w:w="120"/>
              <w:left w:type="dxa" w:w="200"/>
              <w:bottom w:type="dxa" w:w="120"/>
              <w:right w:type="dxa" w:w="120"/>
            </w:tcMar>
          </w:tcPr>
          <w:p>
            <w:r>
              <w:rPr>
                <w:rFonts w:ascii="Arial" w:cs="Arial" w:eastAsia="Arial" w:hAnsi="Arial"/>
                <w:i/>
                <w:iCs/>
                <w:color w:val="1A1A2E"/>
                <w:sz w:val="22"/>
                <w:szCs w:val="22"/>
              </w:rPr>
              <w:t xml:space="preserve">Dataset splitting must always occur at patient level, never at image level. This applies to all three training datasets. For RFMiD specifically, all three original splits (Training, Validation, Testing) are pooled first, then re-split by patient ID — the original RFMiD splits are discarded entirely. For ODIR-5K specifically, both the left-eye and right-eye images of a given patient must appear in the same split partition. A patient whose left eye image is in the training set must have their right eye image in the training set as well — never in validation. Violation of this rule constitutes data leakage and inflates all validation metrics.</w:t>
            </w:r>
          </w:p>
        </w:tc>
      </w:tr>
    </w:tbl>
    <w:p>
      <w:pPr>
        <w:spacing w:after="100" w:before="80"/>
      </w:pPr>
      <w:r>
        <w:rPr>
          <w:rFonts w:ascii="Arial" w:cs="Arial" w:eastAsia="Arial" w:hAnsi="Arial"/>
          <w:color w:val="1A1A2E"/>
          <w:sz w:val="22"/>
          <w:szCs w:val="22"/>
        </w:rPr>
        <w:t xml:space="preserve">Implementation requires multilabel stratification — not standard stratification — to ensure each disease label is proportionally represented across train and validation partitions despite the multi-label structure. The iterative stratification algorithm handles this correctly.</w:t>
      </w:r>
    </w:p>
    <w:p>
      <w:pPr>
        <w:pStyle w:val="Heading2"/>
        <w:spacing w:after="120" w:before="300"/>
      </w:pPr>
      <w:r>
        <w:rPr>
          <w:rFonts w:ascii="Arial" w:cs="Arial" w:eastAsia="Arial" w:hAnsi="Arial"/>
          <w:b/>
          <w:bCs/>
          <w:color w:val="2E75B6"/>
          <w:sz w:val="28"/>
          <w:szCs w:val="28"/>
        </w:rPr>
        <w:t xml:space="preserve">2.6 Class Imbalance Quantification — Week One Task</w:t>
      </w:r>
    </w:p>
    <w:p>
      <w:pPr>
        <w:spacing w:after="100" w:before="80"/>
      </w:pPr>
      <w:r>
        <w:rPr>
          <w:rFonts w:ascii="Arial" w:cs="Arial" w:eastAsia="Arial" w:hAnsi="Arial"/>
          <w:color w:val="1A1A2E"/>
          <w:sz w:val="22"/>
          <w:szCs w:val="22"/>
        </w:rPr>
        <w:t xml:space="preserve">Class imbalance quantification is an empirical measurement step, not a design decision. During the first week of data preparation, after the unified dataset is assembled, compute the exact positive and negative count for every head across the combined training corpus. This is a one-hour task with significant downstream consequences.</w:t>
      </w:r>
    </w:p>
    <w:p>
      <w:pPr>
        <w:spacing w:after="100" w:before="80"/>
      </w:pPr>
      <w:r>
        <w:rPr>
          <w:rFonts w:ascii="Arial" w:cs="Arial" w:eastAsia="Arial" w:hAnsi="Arial"/>
          <w:color w:val="1A1A2E"/>
          <w:sz w:val="22"/>
          <w:szCs w:val="22"/>
        </w:rPr>
        <w:t xml:space="preserve">The results of this count directly set the pos_weight values for each binary BCE head. Hypertensive retinopathy is expected to be the most severely imbalanced — possibly as few as 200–300 positive images across RFMiD and ODIR combined. If validation positive counts for any head fall below approximately 30, AUROC estimates for that head will be unreliable and should be reported with a confidence interval and explicit sample size caveat.</w:t>
      </w:r>
    </w:p>
    <w:p>
      <w:pPr>
        <w:spacing w:after="0" w:before="6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3. Architecture</w:t>
      </w:r>
    </w:p>
    <w:p>
      <w:pPr>
        <w:pStyle w:val="Heading2"/>
        <w:spacing w:after="120" w:before="300"/>
      </w:pPr>
      <w:r>
        <w:rPr>
          <w:rFonts w:ascii="Arial" w:cs="Arial" w:eastAsia="Arial" w:hAnsi="Arial"/>
          <w:b/>
          <w:bCs/>
          <w:color w:val="2E75B6"/>
          <w:sz w:val="28"/>
          <w:szCs w:val="28"/>
        </w:rPr>
        <w:t xml:space="preserve">3.1 Backbone — RETFound</w:t>
      </w:r>
    </w:p>
    <w:p>
      <w:pPr>
        <w:spacing w:after="100" w:before="80"/>
      </w:pPr>
      <w:r>
        <w:rPr>
          <w:rFonts w:ascii="Arial" w:cs="Arial" w:eastAsia="Arial" w:hAnsi="Arial"/>
          <w:color w:val="1A1A2E"/>
          <w:sz w:val="22"/>
          <w:szCs w:val="22"/>
        </w:rPr>
        <w:t xml:space="preserve">RETFound is a Vision Transformer (ViT-Large) foundation model pretrained by Moorfields Eye Hospital on 1.6 million retinal images using masked image modelling. It produces a 1024-dimensional [CLS] token embedding as its output representation. This [CLS] token is a globally aggregated summary of the input image and serves as the input to all downstream heads.</w:t>
      </w:r>
    </w:p>
    <w:p>
      <w:pPr>
        <w:spacing w:after="100" w:before="80"/>
      </w:pPr>
      <w:r>
        <w:rPr>
          <w:rFonts w:ascii="Arial" w:cs="Arial" w:eastAsia="Arial" w:hAnsi="Arial"/>
          <w:color w:val="1A1A2E"/>
          <w:sz w:val="22"/>
          <w:szCs w:val="22"/>
        </w:rPr>
        <w:t xml:space="preserve">RETFound is chosen over a generic ImageNet-pretrained ViT because retinal fundus images differ substantially from natural images in texture, colour distribution, and relevant features. Ablation 1 (Section 7) quantifies the performance advantage of retinal-specific pretraining over general visual pretraining.</w:t>
      </w:r>
    </w:p>
    <w:p>
      <w:pPr>
        <w:spacing w:after="100" w:before="80"/>
      </w:pPr>
      <w:r>
        <w:rPr>
          <w:rFonts w:ascii="Arial" w:cs="Arial" w:eastAsia="Arial" w:hAnsi="Arial"/>
          <w:color w:val="1A1A2E"/>
          <w:sz w:val="22"/>
          <w:szCs w:val="22"/>
        </w:rPr>
        <w:t xml:space="preserve">RETFound pretrained weights are publicly available from the original authors. Input requirement: images resized to 224x224 with ImageNet-standard mean and standard deviation normalization (applied after the fundus-specific preprocessing pipeline described in Section 5).</w:t>
      </w:r>
    </w:p>
    <w:p>
      <w:pPr>
        <w:pStyle w:val="Heading2"/>
        <w:spacing w:after="120" w:before="300"/>
      </w:pPr>
      <w:r>
        <w:rPr>
          <w:rFonts w:ascii="Arial" w:cs="Arial" w:eastAsia="Arial" w:hAnsi="Arial"/>
          <w:b/>
          <w:bCs/>
          <w:color w:val="2E75B6"/>
          <w:sz w:val="28"/>
          <w:szCs w:val="28"/>
        </w:rPr>
        <w:t xml:space="preserve">3.2 Shared Projection Layer</w:t>
      </w:r>
    </w:p>
    <w:p>
      <w:pPr>
        <w:spacing w:after="100" w:before="80"/>
      </w:pPr>
      <w:r>
        <w:rPr>
          <w:rFonts w:ascii="Arial" w:cs="Arial" w:eastAsia="Arial" w:hAnsi="Arial"/>
          <w:color w:val="1A1A2E"/>
          <w:sz w:val="22"/>
          <w:szCs w:val="22"/>
        </w:rPr>
        <w:t xml:space="preserve">Between the RETFound backbone output and the six task heads, a single shared projection layer is inserted. This layer maps the 1024-dimensional backbone output to a 512-dimensional shared representation using a linear transformation followed by LayerNorm and GELU activation.</w:t>
      </w:r>
    </w:p>
    <w:p>
      <w:pPr>
        <w:spacing w:after="100" w:before="80"/>
      </w:pPr>
      <w:r>
        <w:rPr>
          <w:rFonts w:ascii="Arial" w:cs="Arial" w:eastAsia="Arial" w:hAnsi="Arial"/>
          <w:color w:val="1A1A2E"/>
          <w:sz w:val="22"/>
          <w:szCs w:val="22"/>
        </w:rPr>
        <w:t xml:space="preserve">This design choice reflects the known co-structure of retinal diseases: glaucoma and hypertensive retinopathy share vascular change features; DR and AMD share macular region features. Fully independent heads waste this shared structure. Fully shared heads collapse conditions with genuinely distinct retinal signatures. The shared projection layer at 512 dimensions captures common retinal disease features while allowing task-specific heads to specialize from a common starting point.</w:t>
      </w:r>
    </w:p>
    <w:p>
      <w:pPr>
        <w:spacing w:after="100" w:before="80"/>
      </w:pPr>
      <w:r>
        <w:rPr>
          <w:rFonts w:ascii="Arial" w:cs="Arial" w:eastAsia="Arial" w:hAnsi="Arial"/>
          <w:color w:val="1A1A2E"/>
          <w:sz w:val="22"/>
          <w:szCs w:val="22"/>
        </w:rPr>
        <w:t xml:space="preserve">A practical benefit is parameter efficiency: the projection layer adds minimal parameters on top of a large backbone, keeping total model size tractable for the available training data volume.</w:t>
      </w:r>
    </w:p>
    <w:p>
      <w:pPr>
        <w:spacing w:after="100" w:before="80"/>
      </w:pPr>
      <w:r>
        <w:rPr>
          <w:rFonts w:ascii="Arial" w:cs="Arial" w:eastAsia="Arial" w:hAnsi="Arial"/>
          <w:color w:val="1A1A2E"/>
          <w:sz w:val="22"/>
          <w:szCs w:val="22"/>
        </w:rPr>
        <w:t xml:space="preserve">If overfitting is observed after applying all regularization measures, reduce the shared projection dimension from 512 to 256 as a mitigation step.</w:t>
      </w:r>
    </w:p>
    <w:p>
      <w:pPr>
        <w:pStyle w:val="Heading2"/>
        <w:spacing w:after="120" w:before="300"/>
      </w:pPr>
      <w:r>
        <w:rPr>
          <w:rFonts w:ascii="Arial" w:cs="Arial" w:eastAsia="Arial" w:hAnsi="Arial"/>
          <w:b/>
          <w:bCs/>
          <w:color w:val="2E75B6"/>
          <w:sz w:val="28"/>
          <w:szCs w:val="28"/>
        </w:rPr>
        <w:t xml:space="preserve">3.3 Task-Specific Heads</w:t>
      </w:r>
    </w:p>
    <w:p>
      <w:pPr>
        <w:pStyle w:val="ListParagraph"/>
        <w:numPr>
          <w:ilvl w:val="0"/>
          <w:numId w:val="2"/>
        </w:numPr>
        <w:spacing w:after="40" w:before="40"/>
      </w:pPr>
      <w:r>
        <w:rPr>
          <w:rFonts w:ascii="Arial" w:cs="Arial" w:eastAsia="Arial" w:hAnsi="Arial"/>
          <w:b/>
          <w:bCs/>
          <w:color w:val="1A1A2E"/>
          <w:sz w:val="22"/>
          <w:szCs w:val="22"/>
        </w:rPr>
        <w:t xml:space="preserve">Binary heads (DR Presence, Glaucoma, AMD, Hypertensive Retinopathy, Normal): </w:t>
      </w:r>
      <w:r>
        <w:rPr>
          <w:rFonts w:ascii="Arial" w:cs="Arial" w:eastAsia="Arial" w:hAnsi="Arial"/>
          <w:color w:val="1A1A2E"/>
          <w:sz w:val="22"/>
          <w:szCs w:val="22"/>
        </w:rPr>
        <w:t xml:space="preserve">Each is a single linear layer taking the 512-dimensional shared representation as input and producing one logit. No intermediate hidden layer is needed — the shared projection layer has already extracted the relevant representation.</w:t>
      </w:r>
    </w:p>
    <w:p>
      <w:pPr>
        <w:pStyle w:val="ListParagraph"/>
        <w:numPr>
          <w:ilvl w:val="0"/>
          <w:numId w:val="2"/>
        </w:numPr>
        <w:spacing w:after="40" w:before="40"/>
      </w:pPr>
      <w:r>
        <w:rPr>
          <w:rFonts w:ascii="Arial" w:cs="Arial" w:eastAsia="Arial" w:hAnsi="Arial"/>
          <w:b/>
          <w:bCs/>
          <w:color w:val="1A1A2E"/>
          <w:sz w:val="22"/>
          <w:szCs w:val="22"/>
        </w:rPr>
        <w:t xml:space="preserve">DR Severity ordinal head: </w:t>
      </w:r>
      <w:r>
        <w:rPr>
          <w:rFonts w:ascii="Arial" w:cs="Arial" w:eastAsia="Arial" w:hAnsi="Arial"/>
          <w:color w:val="1A1A2E"/>
          <w:sz w:val="22"/>
          <w:szCs w:val="22"/>
        </w:rPr>
        <w:t xml:space="preserve">A two-layer MLP with a 256-dimensional hidden layer between the shared representation and the output layer. The extra capacity is warranted because ordinal grading is a more complex decision boundary than binary detection. Output dimensionality is 4 logits (not 5), corresponding to the four binary boundary decisions in CORAL ordinal regression (see Section 3.4).</w:t>
      </w:r>
    </w:p>
    <w:p>
      <w:pPr>
        <w:pStyle w:val="Heading2"/>
        <w:spacing w:after="120" w:before="300"/>
      </w:pPr>
      <w:r>
        <w:rPr>
          <w:rFonts w:ascii="Arial" w:cs="Arial" w:eastAsia="Arial" w:hAnsi="Arial"/>
          <w:b/>
          <w:bCs/>
          <w:color w:val="2E75B6"/>
          <w:sz w:val="28"/>
          <w:szCs w:val="28"/>
        </w:rPr>
        <w:t xml:space="preserve">3.4 Loss Functions Per Head</w:t>
      </w:r>
    </w:p>
    <w:p>
      <w:pPr>
        <w:pStyle w:val="Heading3"/>
        <w:spacing w:after="80" w:before="200"/>
      </w:pPr>
      <w:r>
        <w:rPr>
          <w:rFonts w:ascii="Arial" w:cs="Arial" w:eastAsia="Arial" w:hAnsi="Arial"/>
          <w:b/>
          <w:bCs/>
          <w:color w:val="1A1A2E"/>
          <w:sz w:val="24"/>
          <w:szCs w:val="24"/>
        </w:rPr>
        <w:t xml:space="preserve">Binary Heads — Binary Cross Entropy with Logits</w:t>
      </w:r>
    </w:p>
    <w:p>
      <w:pPr>
        <w:spacing w:after="100" w:before="80"/>
      </w:pPr>
      <w:r>
        <w:rPr>
          <w:rFonts w:ascii="Arial" w:cs="Arial" w:eastAsia="Arial" w:hAnsi="Arial"/>
          <w:color w:val="1A1A2E"/>
          <w:sz w:val="22"/>
          <w:szCs w:val="22"/>
        </w:rPr>
        <w:t xml:space="preserve">All five binary heads use Binary Cross Entropy with Logits (BCE with Logits). The pos_weight argument is set per head based on the class frequency measurements from Section 2.6, upweighting the minority positive class to counteract imbalance.</w:t>
      </w:r>
    </w:p>
    <w:p>
      <w:pPr>
        <w:pStyle w:val="Heading3"/>
        <w:spacing w:after="80" w:before="200"/>
      </w:pPr>
      <w:r>
        <w:rPr>
          <w:rFonts w:ascii="Arial" w:cs="Arial" w:eastAsia="Arial" w:hAnsi="Arial"/>
          <w:b/>
          <w:bCs/>
          <w:color w:val="1A1A2E"/>
          <w:sz w:val="24"/>
          <w:szCs w:val="24"/>
        </w:rPr>
        <w:t xml:space="preserve">DR Severity Head — CORAL Ordinal Regression</w:t>
      </w:r>
    </w:p>
    <w:p>
      <w:pPr>
        <w:spacing w:after="100" w:before="80"/>
      </w:pPr>
      <w:r>
        <w:rPr>
          <w:rFonts w:ascii="Arial" w:cs="Arial" w:eastAsia="Arial" w:hAnsi="Arial"/>
          <w:color w:val="1A1A2E"/>
          <w:sz w:val="22"/>
          <w:szCs w:val="22"/>
        </w:rPr>
        <w:t xml:space="preserve">Standard Cross Entropy treats the five DR grades as independent classes and penalises predicting grade 0 for a grade 4 patient the same as predicting grade 2 — this is clinically wrong. Mean Squared Error treats grades as continuous but assumes equal inter-grade distances, which is also clinically inaccurate.</w:t>
      </w:r>
    </w:p>
    <w:p>
      <w:pPr>
        <w:spacing w:after="100" w:before="80"/>
      </w:pPr>
      <w:r>
        <w:rPr>
          <w:rFonts w:ascii="Arial" w:cs="Arial" w:eastAsia="Arial" w:hAnsi="Arial"/>
          <w:color w:val="1A1A2E"/>
          <w:sz w:val="22"/>
          <w:szCs w:val="22"/>
        </w:rPr>
        <w:t xml:space="preserve">CORAL (Consistent Rank Logits, Cao et al. 2020) is the correct approach. It decomposes the five-class ordinal problem into four binary boundary decisions: Is severity &gt; 0? Is severity &gt; 1? Is severity &gt; 2? Is severity &gt; 3? These four binary problems share weights in a mathematically constrained way that guarantees rank consistency — the model cannot predict that severity exceeds grade 2 while simultaneously predicting it does not exceed grade 1.</w:t>
      </w:r>
    </w:p>
    <w:p>
      <w:pPr>
        <w:spacing w:after="100" w:before="80"/>
      </w:pPr>
      <w:r>
        <w:rPr>
          <w:rFonts w:ascii="Arial" w:cs="Arial" w:eastAsia="Arial" w:hAnsi="Arial"/>
          <w:color w:val="1A1A2E"/>
          <w:sz w:val="22"/>
          <w:szCs w:val="22"/>
        </w:rPr>
        <w:t xml:space="preserve">The CORAL loss is the sum of four binary cross entropies, one per boundary. The predicted grade is derived as the count of boundaries where the sigmoid probability exceeds 0.5. This architecture has been used in multiple peer-reviewed DR grading papers and is the principled choice for medical severity grading tasks.</w:t>
      </w:r>
    </w:p>
    <w:p>
      <w:pPr>
        <w:pStyle w:val="Heading2"/>
        <w:spacing w:after="120" w:before="300"/>
      </w:pPr>
      <w:r>
        <w:rPr>
          <w:rFonts w:ascii="Arial" w:cs="Arial" w:eastAsia="Arial" w:hAnsi="Arial"/>
          <w:b/>
          <w:bCs/>
          <w:color w:val="2E75B6"/>
          <w:sz w:val="28"/>
          <w:szCs w:val="28"/>
        </w:rPr>
        <w:t xml:space="preserve">3.5 Fine-Tuning Strategy — Two-Stage</w:t>
      </w:r>
    </w:p>
    <w:p>
      <w:pPr>
        <w:pStyle w:val="Heading3"/>
        <w:spacing w:after="80" w:before="200"/>
      </w:pPr>
      <w:r>
        <w:rPr>
          <w:rFonts w:ascii="Arial" w:cs="Arial" w:eastAsia="Arial" w:hAnsi="Arial"/>
          <w:b/>
          <w:bCs/>
          <w:color w:val="1A1A2E"/>
          <w:sz w:val="24"/>
          <w:szCs w:val="24"/>
        </w:rPr>
        <w:t xml:space="preserve">Stage 1 — Frozen Backbone, Heads Only</w:t>
      </w:r>
    </w:p>
    <w:p>
      <w:pPr>
        <w:spacing w:after="100" w:before="80"/>
      </w:pPr>
      <w:r>
        <w:rPr>
          <w:rFonts w:ascii="Arial" w:cs="Arial" w:eastAsia="Arial" w:hAnsi="Arial"/>
          <w:color w:val="1A1A2E"/>
          <w:sz w:val="22"/>
          <w:szCs w:val="22"/>
        </w:rPr>
        <w:t xml:space="preserve">Freeze all RETFound parameters. Train only the shared projection layer and all six task heads. Learning rate: 1e-3 with cosine decay. Maximum epochs: 15. Early stopping with patience of 5 epochs on aggregate validation loss. No warmup needed — only a small number of parameters are being trained.</w:t>
      </w:r>
    </w:p>
    <w:p>
      <w:pPr>
        <w:spacing w:after="100" w:before="80"/>
      </w:pPr>
      <w:r>
        <w:rPr>
          <w:rFonts w:ascii="Arial" w:cs="Arial" w:eastAsia="Arial" w:hAnsi="Arial"/>
          <w:color w:val="1A1A2E"/>
          <w:sz w:val="22"/>
          <w:szCs w:val="22"/>
        </w:rPr>
        <w:t xml:space="preserve">Purpose: bring the task heads to a reasonable initialization state before any gradient flows into the pretrained backbone. If end-to-end training begins with randomly initialized heads, the large initial loss from untrained heads can corrupt the retinal representations embedded in RETFound's weights.</w:t>
      </w:r>
    </w:p>
    <w:p>
      <w:pPr>
        <w:pStyle w:val="Heading3"/>
        <w:spacing w:after="80" w:before="200"/>
      </w:pPr>
      <w:r>
        <w:rPr>
          <w:rFonts w:ascii="Arial" w:cs="Arial" w:eastAsia="Arial" w:hAnsi="Arial"/>
          <w:b/>
          <w:bCs/>
          <w:color w:val="1A1A2E"/>
          <w:sz w:val="24"/>
          <w:szCs w:val="24"/>
        </w:rPr>
        <w:t xml:space="preserve">Stage 2 — End-to-End, Differential Learning Rates</w:t>
      </w:r>
    </w:p>
    <w:p>
      <w:pPr>
        <w:spacing w:after="100" w:before="80"/>
      </w:pPr>
      <w:r>
        <w:rPr>
          <w:rFonts w:ascii="Arial" w:cs="Arial" w:eastAsia="Arial" w:hAnsi="Arial"/>
          <w:color w:val="1A1A2E"/>
          <w:sz w:val="22"/>
          <w:szCs w:val="22"/>
        </w:rPr>
        <w:t xml:space="preserve">Unfreeze all parameters. Apply differential learning rates: backbone at 1e-5, shared projection and heads at 1e-4. The backbone receives a much smaller learning rate because it requires gentle refinement of already-good representations, not relearning from scratch. The heads still require meaningful updates.</w:t>
      </w:r>
    </w:p>
    <w:p>
      <w:pPr>
        <w:spacing w:after="100" w:before="80"/>
      </w:pPr>
      <w:r>
        <w:rPr>
          <w:rFonts w:ascii="Arial" w:cs="Arial" w:eastAsia="Arial" w:hAnsi="Arial"/>
          <w:color w:val="1A1A2E"/>
          <w:sz w:val="22"/>
          <w:szCs w:val="22"/>
        </w:rPr>
        <w:t xml:space="preserve">Add a 3-epoch linear warmup at the start of Stage 2 before cosine decay begins. This prevents a loss spike when gradients first enter the backbone after the frozen Stage 1. Apply gradient clipping with max norm of 1.0 to prevent occasional large gradient spikes in deep ViT layers from destabilizing training. Maximum epochs: 30. Stop when validation AUROC (averaged across binary heads) stops improving for 5 consecutive epochs.</w:t>
      </w:r>
    </w:p>
    <w:p>
      <w:pPr>
        <w:pStyle w:val="Heading2"/>
        <w:spacing w:after="120" w:before="300"/>
      </w:pPr>
      <w:r>
        <w:rPr>
          <w:rFonts w:ascii="Arial" w:cs="Arial" w:eastAsia="Arial" w:hAnsi="Arial"/>
          <w:b/>
          <w:bCs/>
          <w:color w:val="2E75B6"/>
          <w:sz w:val="28"/>
          <w:szCs w:val="28"/>
        </w:rPr>
        <w:t xml:space="preserve">3.6 Loss Weighting Across Heads</w:t>
      </w:r>
    </w:p>
    <w:p>
      <w:pPr>
        <w:spacing w:after="100" w:before="80"/>
      </w:pPr>
      <w:r>
        <w:rPr>
          <w:rFonts w:ascii="Arial" w:cs="Arial" w:eastAsia="Arial" w:hAnsi="Arial"/>
          <w:color w:val="1A1A2E"/>
          <w:sz w:val="22"/>
          <w:szCs w:val="22"/>
        </w:rPr>
        <w:t xml:space="preserve">The total training loss is a weighted sum of individual head losses: L_total = w1·L_DR_presence + w2·L_DR_severity + w3·L_glaucoma + w4·L_AMD + w5·L_hypertensive + w6·L_normal.</w:t>
      </w:r>
    </w:p>
    <w:p>
      <w:pPr>
        <w:pStyle w:val="ListParagraph"/>
        <w:numPr>
          <w:ilvl w:val="0"/>
          <w:numId w:val="2"/>
        </w:numPr>
        <w:spacing w:after="40" w:before="40"/>
      </w:pPr>
      <w:r>
        <w:rPr>
          <w:rFonts w:ascii="Arial" w:cs="Arial" w:eastAsia="Arial" w:hAnsi="Arial"/>
          <w:b/>
          <w:bCs/>
          <w:color w:val="1A1A2E"/>
          <w:sz w:val="22"/>
          <w:szCs w:val="22"/>
        </w:rPr>
        <w:t xml:space="preserve">Baseline: </w:t>
      </w:r>
      <w:r>
        <w:rPr>
          <w:rFonts w:ascii="Arial" w:cs="Arial" w:eastAsia="Arial" w:hAnsi="Arial"/>
          <w:color w:val="1A1A2E"/>
          <w:sz w:val="22"/>
          <w:szCs w:val="22"/>
        </w:rPr>
        <w:t xml:space="preserve">Equal weights (all w = 1.0). Run this first to establish a baseline and observe which heads are underperforming or destabilizing training.</w:t>
      </w:r>
    </w:p>
    <w:p>
      <w:pPr>
        <w:pStyle w:val="ListParagraph"/>
        <w:numPr>
          <w:ilvl w:val="0"/>
          <w:numId w:val="2"/>
        </w:numPr>
        <w:spacing w:after="40" w:before="40"/>
      </w:pPr>
      <w:r>
        <w:rPr>
          <w:rFonts w:ascii="Arial" w:cs="Arial" w:eastAsia="Arial" w:hAnsi="Arial"/>
          <w:b/>
          <w:bCs/>
          <w:color w:val="1A1A2E"/>
          <w:sz w:val="22"/>
          <w:szCs w:val="22"/>
        </w:rPr>
        <w:t xml:space="preserve">Manual adjustment: </w:t>
      </w:r>
      <w:r>
        <w:rPr>
          <w:rFonts w:ascii="Arial" w:cs="Arial" w:eastAsia="Arial" w:hAnsi="Arial"/>
          <w:color w:val="1A1A2E"/>
          <w:sz w:val="22"/>
          <w:szCs w:val="22"/>
        </w:rPr>
        <w:t xml:space="preserve">If baseline training is unstable or specific heads underperform, upweight DR Severity by 1.5x and Hypertensive Retinopathy by 2.0x — these are the hardest and rarest tasks respectively. This is empirical but defensible, framed as a sensitivity analysis in the report.</w:t>
      </w:r>
    </w:p>
    <w:p>
      <w:pPr>
        <w:pStyle w:val="ListParagraph"/>
        <w:numPr>
          <w:ilvl w:val="0"/>
          <w:numId w:val="2"/>
        </w:numPr>
        <w:spacing w:after="40" w:before="40"/>
      </w:pPr>
      <w:r>
        <w:rPr>
          <w:rFonts w:ascii="Arial" w:cs="Arial" w:eastAsia="Arial" w:hAnsi="Arial"/>
          <w:b/>
          <w:bCs/>
          <w:color w:val="1A1A2E"/>
          <w:sz w:val="22"/>
          <w:szCs w:val="22"/>
        </w:rPr>
        <w:t xml:space="preserve">Principled alternative: </w:t>
      </w:r>
      <w:r>
        <w:rPr>
          <w:rFonts w:ascii="Arial" w:cs="Arial" w:eastAsia="Arial" w:hAnsi="Arial"/>
          <w:color w:val="1A1A2E"/>
          <w:sz w:val="22"/>
          <w:szCs w:val="22"/>
        </w:rPr>
        <w:t xml:space="preserve">Uncertainty weighting (Kendall et al. 2018) learns a log-variance parameter per task. Tasks with inherently higher noise receive higher variance and are automatically downweighted. This is the theoretically correct approach. Implement as an experimental comparison if time permits.</w:t>
      </w:r>
    </w:p>
    <w:p>
      <w:pPr>
        <w:pStyle w:val="ListParagraph"/>
        <w:numPr>
          <w:ilvl w:val="0"/>
          <w:numId w:val="2"/>
        </w:numPr>
        <w:spacing w:after="40" w:before="40"/>
      </w:pPr>
      <w:r>
        <w:rPr>
          <w:rFonts w:ascii="Arial" w:cs="Arial" w:eastAsia="Arial" w:hAnsi="Arial"/>
          <w:b/>
          <w:bCs/>
          <w:color w:val="1A1A2E"/>
          <w:sz w:val="22"/>
          <w:szCs w:val="22"/>
        </w:rPr>
        <w:t xml:space="preserve">APTOS sampling correction: </w:t>
      </w:r>
      <w:r>
        <w:rPr>
          <w:rFonts w:ascii="Arial" w:cs="Arial" w:eastAsia="Arial" w:hAnsi="Arial"/>
          <w:color w:val="1A1A2E"/>
          <w:sz w:val="22"/>
          <w:szCs w:val="22"/>
        </w:rPr>
        <w:t xml:space="preserve">APTOS images produce gradient signals for only 2 of 6 heads, making them implicitly underweighted relative to RFMiD and ODIR images. If DR severity performance is weaker than expected, oversample APTOS images during training to compensate.</w:t>
      </w:r>
    </w:p>
    <w:p>
      <w:pPr>
        <w:pStyle w:val="Heading2"/>
        <w:spacing w:after="120" w:before="300"/>
      </w:pPr>
      <w:r>
        <w:rPr>
          <w:rFonts w:ascii="Arial" w:cs="Arial" w:eastAsia="Arial" w:hAnsi="Arial"/>
          <w:b/>
          <w:bCs/>
          <w:color w:val="2E75B6"/>
          <w:sz w:val="28"/>
          <w:szCs w:val="28"/>
        </w:rPr>
        <w:t xml:space="preserve">3.7 Explainability</w:t>
      </w:r>
    </w:p>
    <w:p>
      <w:pPr>
        <w:spacing w:after="100" w:before="80"/>
      </w:pPr>
      <w:r>
        <w:rPr>
          <w:rFonts w:ascii="Arial" w:cs="Arial" w:eastAsia="Arial" w:hAnsi="Arial"/>
          <w:color w:val="1A1A2E"/>
          <w:sz w:val="22"/>
          <w:szCs w:val="22"/>
        </w:rPr>
        <w:t xml:space="preserve">Standard Grad-CAM requires spatially structured convolutional feature maps and does not transfer directly to Vision Transformers. Two ViT-appropriate methods are implemented and compared.</w:t>
      </w:r>
    </w:p>
    <w:p>
      <w:pPr>
        <w:pStyle w:val="ListParagraph"/>
        <w:numPr>
          <w:ilvl w:val="0"/>
          <w:numId w:val="2"/>
        </w:numPr>
        <w:spacing w:after="40" w:before="40"/>
      </w:pPr>
      <w:r>
        <w:rPr>
          <w:rFonts w:ascii="Arial" w:cs="Arial" w:eastAsia="Arial" w:hAnsi="Arial"/>
          <w:b/>
          <w:bCs/>
          <w:color w:val="1A1A2E"/>
          <w:sz w:val="22"/>
          <w:szCs w:val="22"/>
        </w:rPr>
        <w:t xml:space="preserve">Attention Rollout: </w:t>
      </w:r>
      <w:r>
        <w:rPr>
          <w:rFonts w:ascii="Arial" w:cs="Arial" w:eastAsia="Arial" w:hAnsi="Arial"/>
          <w:color w:val="1A1A2E"/>
          <w:sz w:val="22"/>
          <w:szCs w:val="22"/>
        </w:rPr>
        <w:t xml:space="preserve">Propagates self-attention weights multiplicatively from the output back to the input patch tokens across all transformer layers. Produces a heatmap showing which image patches the [CLS] token attended to most. Computationally cheap and architecturally natural. Limitation: attention magnitude does not perfectly predict prediction importance.</w:t>
      </w:r>
    </w:p>
    <w:p>
      <w:pPr>
        <w:pStyle w:val="ListParagraph"/>
        <w:numPr>
          <w:ilvl w:val="0"/>
          <w:numId w:val="2"/>
        </w:numPr>
        <w:spacing w:after="40" w:before="40"/>
      </w:pPr>
      <w:r>
        <w:rPr>
          <w:rFonts w:ascii="Arial" w:cs="Arial" w:eastAsia="Arial" w:hAnsi="Arial"/>
          <w:b/>
          <w:bCs/>
          <w:color w:val="1A1A2E"/>
          <w:sz w:val="22"/>
          <w:szCs w:val="22"/>
        </w:rPr>
        <w:t xml:space="preserve">Gradient-Weighted Attention Maps: </w:t>
      </w:r>
      <w:r>
        <w:rPr>
          <w:rFonts w:ascii="Arial" w:cs="Arial" w:eastAsia="Arial" w:hAnsi="Arial"/>
          <w:color w:val="1A1A2E"/>
          <w:sz w:val="22"/>
          <w:szCs w:val="22"/>
        </w:rPr>
        <w:t xml:space="preserve">Treats spatial patch token outputs from the final attention layer as pseudo-feature maps. Computes gradient weights with respect to each head's output and produces prediction-specific heatmaps. Sharper and more prediction-specific than attention rollout.</w:t>
      </w:r>
    </w:p>
    <w:p>
      <w:pPr>
        <w:spacing w:after="100" w:before="80"/>
      </w:pPr>
      <w:r>
        <w:rPr>
          <w:rFonts w:ascii="Arial" w:cs="Arial" w:eastAsia="Arial" w:hAnsi="Arial"/>
          <w:color w:val="1A1A2E"/>
          <w:sz w:val="22"/>
          <w:szCs w:val="22"/>
        </w:rPr>
        <w:t xml:space="preserve">Both methods are implemented and applied to the same 20–30 representative test images. Outputs are compared visually and assessed for clinical alignment: DR heatmaps should highlight the macula and haemorrhage regions; Glaucoma heatmaps should highlight the optic disc; AMD heatmaps should highlight the central macular region. Clinical alignment of explainability output is a validation result beyond accuracy metrics and is highlighted in the project report.</w:t>
      </w:r>
    </w:p>
    <w:p>
      <w:pPr>
        <w:spacing w:after="0" w:before="6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4. RAG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E8F4FD" w:val="clear"/>
            <w:tcMar>
              <w:top w:type="dxa" w:w="120"/>
              <w:left w:type="dxa" w:w="200"/>
              <w:bottom w:type="dxa" w:w="120"/>
              <w:right w:type="dxa" w:w="120"/>
            </w:tcMar>
          </w:tcPr>
          <w:p>
            <w:r>
              <w:rPr>
                <w:rFonts w:ascii="Arial" w:cs="Arial" w:eastAsia="Arial" w:hAnsi="Arial"/>
                <w:i/>
                <w:iCs/>
                <w:color w:val="1A1A2E"/>
                <w:sz w:val="22"/>
                <w:szCs w:val="22"/>
              </w:rPr>
              <w:t xml:space="preserve">RAG internals — knowledge base construction, retrieval implementation, and language model selection — are intentionally deferred. They will be designed and implemented after ViT training is complete. This section defines only the handoff interface between the vision model and the RAG system.</w:t>
            </w:r>
          </w:p>
        </w:tc>
      </w:tr>
    </w:tbl>
    <w:p>
      <w:pPr>
        <w:spacing w:after="0" w:before="60"/>
      </w:pPr>
      <w:r>
        <w:t xml:space="preserve"/>
      </w:r>
    </w:p>
    <w:p>
      <w:pPr>
        <w:pStyle w:val="Heading2"/>
        <w:spacing w:after="120" w:before="300"/>
      </w:pPr>
      <w:r>
        <w:rPr>
          <w:rFonts w:ascii="Arial" w:cs="Arial" w:eastAsia="Arial" w:hAnsi="Arial"/>
          <w:b/>
          <w:bCs/>
          <w:color w:val="2E75B6"/>
          <w:sz w:val="28"/>
          <w:szCs w:val="28"/>
        </w:rPr>
        <w:t xml:space="preserve">4.1 Structured Prediction Object — Handoff Format</w:t>
      </w:r>
    </w:p>
    <w:p>
      <w:pPr>
        <w:spacing w:after="100" w:before="80"/>
      </w:pPr>
      <w:r>
        <w:rPr>
          <w:rFonts w:ascii="Arial" w:cs="Arial" w:eastAsia="Arial" w:hAnsi="Arial"/>
          <w:color w:val="1A1A2E"/>
          <w:sz w:val="22"/>
          <w:szCs w:val="22"/>
        </w:rPr>
        <w:t xml:space="preserve">After inference, a post-processing step converts raw model outputs into a structured prediction object. This object is what the RAG system receives. It contains, for each of the six heads: the predicted label or grade, the sigmoid probability (confidence score), and a human-readable confidence tier derived from thresholding.</w:t>
      </w:r>
    </w:p>
    <w:p>
      <w:pPr>
        <w:spacing w:after="100" w:before="80"/>
      </w:pPr>
      <w:r>
        <w:rPr>
          <w:rFonts w:ascii="Arial" w:cs="Arial" w:eastAsia="Arial" w:hAnsi="Arial"/>
          <w:color w:val="1A1A2E"/>
          <w:sz w:val="22"/>
          <w:szCs w:val="22"/>
        </w:rPr>
        <w:t xml:space="preserve">The confidence tiers map probabilities as follows: below 0.3 is Low Confidence, 0.3 to 0.7 is Moderate Confidence, above 0.7 is High Confidence. The RAG works with these labels rather than raw probabilities to avoid requiring the language model to interpret numerical uncertainty.</w:t>
      </w:r>
    </w:p>
    <w:p>
      <w:pPr>
        <w:spacing w:after="100" w:before="80"/>
      </w:pPr>
      <w:r>
        <w:rPr>
          <w:rFonts w:ascii="Arial" w:cs="Arial" w:eastAsia="Arial" w:hAnsi="Arial"/>
          <w:color w:val="1A1A2E"/>
          <w:sz w:val="22"/>
          <w:szCs w:val="22"/>
        </w:rPr>
        <w:t xml:space="preserve">The DR Severity head produces four boundary probabilities from CORAL rather than a single probability. All four are included in the object alongside the derived grade. This allows the RAG to modulate report language based on how confident the grade boundary decisions were.</w:t>
      </w:r>
    </w:p>
    <w:p>
      <w:pPr>
        <w:pStyle w:val="Heading2"/>
        <w:spacing w:after="120" w:before="300"/>
      </w:pPr>
      <w:r>
        <w:rPr>
          <w:rFonts w:ascii="Arial" w:cs="Arial" w:eastAsia="Arial" w:hAnsi="Arial"/>
          <w:b/>
          <w:bCs/>
          <w:color w:val="2E75B6"/>
          <w:sz w:val="28"/>
          <w:szCs w:val="28"/>
        </w:rPr>
        <w:t xml:space="preserve">4.2 Concrete Output Example</w:t>
      </w:r>
    </w:p>
    <w:p>
      <w:pPr>
        <w:spacing w:after="100" w:before="80"/>
      </w:pPr>
      <w:r>
        <w:rPr>
          <w:rFonts w:ascii="Arial" w:cs="Arial" w:eastAsia="Arial" w:hAnsi="Arial"/>
          <w:color w:val="1A1A2E"/>
          <w:sz w:val="22"/>
          <w:szCs w:val="22"/>
        </w:rPr>
        <w:t xml:space="preserve">For a patient image with moderate DR and hypertensive retinopathy co-occurrence: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400"/>
        <w:gridCol w:w="2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Head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Prediction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Probability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DR Presence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Positive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0.91</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High</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Triggers retrieval query</w:t>
            </w:r>
          </w:p>
        </w:tc>
      </w:tr>
      <w:tr>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DR Severity</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Grade 2 (Moderate)</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CORAL bounds: 0.97,0.89,0.71,0.23</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High</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Grade = count of bounds &gt; 0.5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Glaucoma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Negative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0.12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Below threshold; no retrieval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Negative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0.08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Below threshold; no retrieval</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Hyp. Retinopathy</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Positive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0.74</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Moderate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Triggers retrieval query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Normal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Negative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0.04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Not applicable when pathology detected</w:t>
            </w:r>
          </w:p>
        </w:tc>
      </w:tr>
    </w:tbl>
    <w:p>
      <w:pPr>
        <w:spacing w:after="0" w:before="60"/>
      </w:pPr>
      <w:r>
        <w:t xml:space="preserve"/>
      </w:r>
    </w:p>
    <w:p>
      <w:pPr>
        <w:spacing w:after="100" w:before="80"/>
      </w:pPr>
      <w:r>
        <w:rPr>
          <w:rFonts w:ascii="Arial" w:cs="Arial" w:eastAsia="Arial" w:hAnsi="Arial"/>
          <w:color w:val="1A1A2E"/>
          <w:sz w:val="22"/>
          <w:szCs w:val="22"/>
        </w:rPr>
        <w:t xml:space="preserve">This example illustrates co-occurring DR and hypertensive retinopathy — exactly the multi-disease scenario the system is designed to handle. Both positive detections independently trigger retrieval queries. The CORAL boundary probabilities [0.97, 0.89, 0.71, 0.23] indicate the model is highly confident the severity exceeds grades 0 and 1, moderately confident it exceeds grade 2, and clearly below the grade 3 boundary. Derived grade: 2 (Moderate).</w:t>
      </w:r>
    </w:p>
    <w:p>
      <w:pPr>
        <w:pStyle w:val="Heading2"/>
        <w:spacing w:after="120" w:before="300"/>
      </w:pPr>
      <w:r>
        <w:rPr>
          <w:rFonts w:ascii="Arial" w:cs="Arial" w:eastAsia="Arial" w:hAnsi="Arial"/>
          <w:b/>
          <w:bCs/>
          <w:color w:val="2E75B6"/>
          <w:sz w:val="28"/>
          <w:szCs w:val="28"/>
        </w:rPr>
        <w:t xml:space="preserve">4.3 Report Generation Pipeline</w:t>
      </w:r>
    </w:p>
    <w:p>
      <w:pPr>
        <w:spacing w:after="100" w:before="80"/>
      </w:pPr>
      <w:r>
        <w:rPr>
          <w:rFonts w:ascii="Arial" w:cs="Arial" w:eastAsia="Arial" w:hAnsi="Arial"/>
          <w:color w:val="1A1A2E"/>
          <w:sz w:val="22"/>
          <w:szCs w:val="22"/>
        </w:rPr>
        <w:t xml:space="preserve">The RAG system processes the structured prediction object in three sequential steps.</w:t>
      </w:r>
    </w:p>
    <w:p>
      <w:pPr>
        <w:pStyle w:val="ListParagraph"/>
        <w:numPr>
          <w:ilvl w:val="0"/>
          <w:numId w:val="2"/>
        </w:numPr>
        <w:spacing w:after="40" w:before="40"/>
      </w:pPr>
      <w:r>
        <w:rPr>
          <w:rFonts w:ascii="Arial" w:cs="Arial" w:eastAsia="Arial" w:hAnsi="Arial"/>
          <w:b/>
          <w:bCs/>
          <w:color w:val="1A1A2E"/>
          <w:sz w:val="22"/>
          <w:szCs w:val="22"/>
        </w:rPr>
        <w:t xml:space="preserve">Step 1 — Query construction: </w:t>
      </w:r>
      <w:r>
        <w:rPr>
          <w:rFonts w:ascii="Arial" w:cs="Arial" w:eastAsia="Arial" w:hAnsi="Arial"/>
          <w:color w:val="1A1A2E"/>
          <w:sz w:val="22"/>
          <w:szCs w:val="22"/>
        </w:rPr>
        <w:t xml:space="preserve">For every head with a positive prediction above the confidence threshold, construct a natural language retrieval query. In the example above: 'moderate diabetic retinopathy clinical management guidelines', 'hypertensive retinopathy fundus findings and clinical significance', and 'diabetic retinopathy hypertensive retinopathy co-occurrence management'. Negative predictions below threshold generate no queries.</w:t>
      </w:r>
    </w:p>
    <w:p>
      <w:pPr>
        <w:pStyle w:val="ListParagraph"/>
        <w:numPr>
          <w:ilvl w:val="0"/>
          <w:numId w:val="2"/>
        </w:numPr>
        <w:spacing w:after="40" w:before="40"/>
      </w:pPr>
      <w:r>
        <w:rPr>
          <w:rFonts w:ascii="Arial" w:cs="Arial" w:eastAsia="Arial" w:hAnsi="Arial"/>
          <w:b/>
          <w:bCs/>
          <w:color w:val="1A1A2E"/>
          <w:sz w:val="22"/>
          <w:szCs w:val="22"/>
        </w:rPr>
        <w:t xml:space="preserve">Step 2 — Retrieval: </w:t>
      </w:r>
      <w:r>
        <w:rPr>
          <w:rFonts w:ascii="Arial" w:cs="Arial" w:eastAsia="Arial" w:hAnsi="Arial"/>
          <w:color w:val="1A1A2E"/>
          <w:sz w:val="22"/>
          <w:szCs w:val="22"/>
        </w:rPr>
        <w:t xml:space="preserve">The RAG retrieves the most relevant chunks from its clinical knowledge base — guideline documents, peer-reviewed paper abstracts, clinical protocols — for each query. Retrieved chunks become the context for generation.</w:t>
      </w:r>
    </w:p>
    <w:p>
      <w:pPr>
        <w:pStyle w:val="ListParagraph"/>
        <w:numPr>
          <w:ilvl w:val="0"/>
          <w:numId w:val="2"/>
        </w:numPr>
        <w:spacing w:after="40" w:before="40"/>
      </w:pPr>
      <w:r>
        <w:rPr>
          <w:rFonts w:ascii="Arial" w:cs="Arial" w:eastAsia="Arial" w:hAnsi="Arial"/>
          <w:b/>
          <w:bCs/>
          <w:color w:val="1A1A2E"/>
          <w:sz w:val="22"/>
          <w:szCs w:val="22"/>
        </w:rPr>
        <w:t xml:space="preserve">Step 3 — Conditioned report generation: </w:t>
      </w:r>
      <w:r>
        <w:rPr>
          <w:rFonts w:ascii="Arial" w:cs="Arial" w:eastAsia="Arial" w:hAnsi="Arial"/>
          <w:color w:val="1A1A2E"/>
          <w:sz w:val="22"/>
          <w:szCs w:val="22"/>
        </w:rPr>
        <w:t xml:space="preserve">The language model receives the structured prediction object (the factual skeleton: what was detected, at what severity, with what confidence) plus the retrieved chunks (the evidence base). It generates a structured clinical summary. The model combines, not invents — all clinical facts come from the retrieved context.</w:t>
      </w:r>
    </w:p>
    <w:p>
      <w:pPr>
        <w:pStyle w:val="Heading2"/>
        <w:spacing w:after="120" w:before="300"/>
      </w:pPr>
      <w:r>
        <w:rPr>
          <w:rFonts w:ascii="Arial" w:cs="Arial" w:eastAsia="Arial" w:hAnsi="Arial"/>
          <w:b/>
          <w:bCs/>
          <w:color w:val="2E75B6"/>
          <w:sz w:val="28"/>
          <w:szCs w:val="28"/>
        </w:rPr>
        <w:t xml:space="preserve">4.4 Report Structure</w:t>
      </w:r>
    </w:p>
    <w:p>
      <w:pPr>
        <w:spacing w:after="100" w:before="80"/>
      </w:pPr>
      <w:r>
        <w:rPr>
          <w:rFonts w:ascii="Arial" w:cs="Arial" w:eastAsia="Arial" w:hAnsi="Arial"/>
          <w:color w:val="1A1A2E"/>
          <w:sz w:val="22"/>
          <w:szCs w:val="22"/>
        </w:rPr>
        <w:t xml:space="preserve">The RAG output is a four-section structured clinical summary:</w:t>
      </w:r>
    </w:p>
    <w:p>
      <w:pPr>
        <w:pStyle w:val="ListParagraph"/>
        <w:numPr>
          <w:ilvl w:val="0"/>
          <w:numId w:val="2"/>
        </w:numPr>
        <w:spacing w:after="40" w:before="40"/>
      </w:pPr>
      <w:r>
        <w:rPr>
          <w:rFonts w:ascii="Arial" w:cs="Arial" w:eastAsia="Arial" w:hAnsi="Arial"/>
          <w:b/>
          <w:bCs/>
          <w:color w:val="1A1A2E"/>
          <w:sz w:val="22"/>
          <w:szCs w:val="22"/>
        </w:rPr>
        <w:t xml:space="preserve">Findings: </w:t>
      </w:r>
      <w:r>
        <w:rPr>
          <w:rFonts w:ascii="Arial" w:cs="Arial" w:eastAsia="Arial" w:hAnsi="Arial"/>
          <w:color w:val="1A1A2E"/>
          <w:sz w:val="22"/>
          <w:szCs w:val="22"/>
        </w:rPr>
        <w:t xml:space="preserve">Detected conditions with severity grade and confidence tier, in structured list format.</w:t>
      </w:r>
    </w:p>
    <w:p>
      <w:pPr>
        <w:pStyle w:val="ListParagraph"/>
        <w:numPr>
          <w:ilvl w:val="0"/>
          <w:numId w:val="2"/>
        </w:numPr>
        <w:spacing w:after="40" w:before="40"/>
      </w:pPr>
      <w:r>
        <w:rPr>
          <w:rFonts w:ascii="Arial" w:cs="Arial" w:eastAsia="Arial" w:hAnsi="Arial"/>
          <w:b/>
          <w:bCs/>
          <w:color w:val="1A1A2E"/>
          <w:sz w:val="22"/>
          <w:szCs w:val="22"/>
        </w:rPr>
        <w:t xml:space="preserve">Clinical Interpretation: </w:t>
      </w:r>
      <w:r>
        <w:rPr>
          <w:rFonts w:ascii="Arial" w:cs="Arial" w:eastAsia="Arial" w:hAnsi="Arial"/>
          <w:color w:val="1A1A2E"/>
          <w:sz w:val="22"/>
          <w:szCs w:val="22"/>
        </w:rPr>
        <w:t xml:space="preserve">One to two sentences per detected condition explaining clinical significance, drawn from retrieved guidelines.</w:t>
      </w:r>
    </w:p>
    <w:p>
      <w:pPr>
        <w:pStyle w:val="ListParagraph"/>
        <w:numPr>
          <w:ilvl w:val="0"/>
          <w:numId w:val="2"/>
        </w:numPr>
        <w:spacing w:after="40" w:before="40"/>
      </w:pPr>
      <w:r>
        <w:rPr>
          <w:rFonts w:ascii="Arial" w:cs="Arial" w:eastAsia="Arial" w:hAnsi="Arial"/>
          <w:b/>
          <w:bCs/>
          <w:color w:val="1A1A2E"/>
          <w:sz w:val="22"/>
          <w:szCs w:val="22"/>
        </w:rPr>
        <w:t xml:space="preserve">Recommendations: </w:t>
      </w:r>
      <w:r>
        <w:rPr>
          <w:rFonts w:ascii="Arial" w:cs="Arial" w:eastAsia="Arial" w:hAnsi="Arial"/>
          <w:color w:val="1A1A2E"/>
          <w:sz w:val="22"/>
          <w:szCs w:val="22"/>
        </w:rPr>
        <w:t xml:space="preserve">Suggested next steps — referral urgency, repeat screening interval, additional imaging requirements.</w:t>
      </w:r>
    </w:p>
    <w:p>
      <w:pPr>
        <w:pStyle w:val="ListParagraph"/>
        <w:numPr>
          <w:ilvl w:val="0"/>
          <w:numId w:val="2"/>
        </w:numPr>
        <w:spacing w:after="40" w:before="40"/>
      </w:pPr>
      <w:r>
        <w:rPr>
          <w:rFonts w:ascii="Arial" w:cs="Arial" w:eastAsia="Arial" w:hAnsi="Arial"/>
          <w:b/>
          <w:bCs/>
          <w:color w:val="1A1A2E"/>
          <w:sz w:val="22"/>
          <w:szCs w:val="22"/>
        </w:rPr>
        <w:t xml:space="preserve">Confidence Caveat: </w:t>
      </w:r>
      <w:r>
        <w:rPr>
          <w:rFonts w:ascii="Arial" w:cs="Arial" w:eastAsia="Arial" w:hAnsi="Arial"/>
          <w:color w:val="1A1A2E"/>
          <w:sz w:val="22"/>
          <w:szCs w:val="22"/>
        </w:rPr>
        <w:t xml:space="preserve">Standard disclaimer that this output is a decision support tool and does not constitute a clinical diagnosis.</w:t>
      </w:r>
    </w:p>
    <w:p>
      <w:pPr>
        <w:pStyle w:val="Heading2"/>
        <w:spacing w:after="120" w:before="300"/>
      </w:pPr>
      <w:r>
        <w:rPr>
          <w:rFonts w:ascii="Arial" w:cs="Arial" w:eastAsia="Arial" w:hAnsi="Arial"/>
          <w:b/>
          <w:bCs/>
          <w:color w:val="2E75B6"/>
          <w:sz w:val="28"/>
          <w:szCs w:val="28"/>
        </w:rPr>
        <w:t xml:space="preserve">4.5 Lightweight Fallback — For Timeline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E8F4FD" w:val="clear"/>
            <w:tcMar>
              <w:top w:type="dxa" w:w="120"/>
              <w:left w:type="dxa" w:w="200"/>
              <w:bottom w:type="dxa" w:w="120"/>
              <w:right w:type="dxa" w:w="120"/>
            </w:tcMar>
          </w:tcPr>
          <w:p>
            <w:r>
              <w:rPr>
                <w:rFonts w:ascii="Arial" w:cs="Arial" w:eastAsia="Arial" w:hAnsi="Arial"/>
                <w:i/>
                <w:iCs/>
                <w:color w:val="1A1A2E"/>
                <w:sz w:val="22"/>
                <w:szCs w:val="22"/>
              </w:rPr>
              <w:t xml:space="preserve">If RAG implementation falls behind schedule, the minimum viable fallback is a templated report generator. The structured prediction object fills pre-written template slots with condition names, severity grades, and confidence tiers. Clinical text blurbs are pre-authored per condition. This is presented in the report as the current implementation, with full RAG retrieval as the designed architecture and the next development milestone. This is an honest engineering position, not a failure.</w:t>
            </w:r>
          </w:p>
        </w:tc>
      </w:tr>
    </w:tbl>
    <w:p>
      <w:pPr>
        <w:spacing w:after="0" w:before="6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5. Training Pipeline</w:t>
      </w:r>
    </w:p>
    <w:p>
      <w:pPr>
        <w:pStyle w:val="Heading2"/>
        <w:spacing w:after="120" w:before="300"/>
      </w:pPr>
      <w:r>
        <w:rPr>
          <w:rFonts w:ascii="Arial" w:cs="Arial" w:eastAsia="Arial" w:hAnsi="Arial"/>
          <w:b/>
          <w:bCs/>
          <w:color w:val="2E75B6"/>
          <w:sz w:val="28"/>
          <w:szCs w:val="28"/>
        </w:rPr>
        <w:t xml:space="preserve">5.1 Preprocessing Pipeline — LOCKED, Ordered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E8F4FD" w:val="clear"/>
            <w:tcMar>
              <w:top w:type="dxa" w:w="120"/>
              <w:left w:type="dxa" w:w="200"/>
              <w:bottom w:type="dxa" w:w="120"/>
              <w:right w:type="dxa" w:w="120"/>
            </w:tcMar>
          </w:tcPr>
          <w:p>
            <w:r>
              <w:rPr>
                <w:rFonts w:ascii="Arial" w:cs="Arial" w:eastAsia="Arial" w:hAnsi="Arial"/>
                <w:i/>
                <w:iCs/>
                <w:color w:val="1A1A2E"/>
                <w:sz w:val="22"/>
                <w:szCs w:val="22"/>
              </w:rPr>
              <w:t xml:space="preserve">This exact pipeline must be applied identically to all training images, validation images, and MESSIDOR-2 test images. Any deviation between training and test preprocessing is a source of evaluation error.</w:t>
            </w:r>
          </w:p>
        </w:tc>
      </w:tr>
    </w:tbl>
    <w:p>
      <w:pPr>
        <w:spacing w:after="0" w:before="6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Step 1 — CLAHE (Contrast Limited Adaptive Histogram Equalization): </w:t>
      </w:r>
      <w:r>
        <w:rPr>
          <w:rFonts w:ascii="Arial" w:cs="Arial" w:eastAsia="Arial" w:hAnsi="Arial"/>
          <w:color w:val="1A1A2E"/>
          <w:sz w:val="22"/>
          <w:szCs w:val="22"/>
        </w:rPr>
        <w:t xml:space="preserve">Normalizes illumination variation across images from different clinical sites and camera settings. Applied before any resizing to preserve the original spatial frequency content.</w:t>
      </w:r>
    </w:p>
    <w:p>
      <w:pPr>
        <w:pStyle w:val="ListParagraph"/>
        <w:numPr>
          <w:ilvl w:val="0"/>
          <w:numId w:val="2"/>
        </w:numPr>
        <w:spacing w:after="40" w:before="40"/>
      </w:pPr>
      <w:r>
        <w:rPr>
          <w:rFonts w:ascii="Arial" w:cs="Arial" w:eastAsia="Arial" w:hAnsi="Arial"/>
          <w:b/>
          <w:bCs/>
          <w:color w:val="1A1A2E"/>
          <w:sz w:val="22"/>
          <w:szCs w:val="22"/>
        </w:rPr>
        <w:t xml:space="preserve">Step 2 — Circular Mask: </w:t>
      </w:r>
      <w:r>
        <w:rPr>
          <w:rFonts w:ascii="Arial" w:cs="Arial" w:eastAsia="Arial" w:hAnsi="Arial"/>
          <w:color w:val="1A1A2E"/>
          <w:sz w:val="22"/>
          <w:szCs w:val="22"/>
        </w:rPr>
        <w:t xml:space="preserve">Fundus cameras produce images with circular fields of view surrounded by black borders of varying widths depending on equipment. A circular mask is applied to remove these borders, preventing the model from learning border artefacts as disease signals.</w:t>
      </w:r>
    </w:p>
    <w:p>
      <w:pPr>
        <w:pStyle w:val="ListParagraph"/>
        <w:numPr>
          <w:ilvl w:val="0"/>
          <w:numId w:val="2"/>
        </w:numPr>
        <w:spacing w:after="40" w:before="40"/>
      </w:pPr>
      <w:r>
        <w:rPr>
          <w:rFonts w:ascii="Arial" w:cs="Arial" w:eastAsia="Arial" w:hAnsi="Arial"/>
          <w:b/>
          <w:bCs/>
          <w:color w:val="1A1A2E"/>
          <w:sz w:val="22"/>
          <w:szCs w:val="22"/>
        </w:rPr>
        <w:t xml:space="preserve">Step 3 — Green Channel Emphasis: </w:t>
      </w:r>
      <w:r>
        <w:rPr>
          <w:rFonts w:ascii="Arial" w:cs="Arial" w:eastAsia="Arial" w:hAnsi="Arial"/>
          <w:color w:val="1A1A2E"/>
          <w:sz w:val="22"/>
          <w:szCs w:val="22"/>
        </w:rPr>
        <w:t xml:space="preserve">Retinal lesions — haemorrhages, exudates, neovascularization — have the highest contrast in the green channel of RGB fundus images. Green channel emphasis improves lesion visibility without discarding colour information entirely.</w:t>
      </w:r>
    </w:p>
    <w:p>
      <w:pPr>
        <w:pStyle w:val="ListParagraph"/>
        <w:numPr>
          <w:ilvl w:val="0"/>
          <w:numId w:val="2"/>
        </w:numPr>
        <w:spacing w:after="40" w:before="40"/>
      </w:pPr>
      <w:r>
        <w:rPr>
          <w:rFonts w:ascii="Arial" w:cs="Arial" w:eastAsia="Arial" w:hAnsi="Arial"/>
          <w:b/>
          <w:bCs/>
          <w:color w:val="1A1A2E"/>
          <w:sz w:val="22"/>
          <w:szCs w:val="22"/>
        </w:rPr>
        <w:t xml:space="preserve">Step 4 — Resize to 224x224: </w:t>
      </w:r>
      <w:r>
        <w:rPr>
          <w:rFonts w:ascii="Arial" w:cs="Arial" w:eastAsia="Arial" w:hAnsi="Arial"/>
          <w:color w:val="1A1A2E"/>
          <w:sz w:val="22"/>
          <w:szCs w:val="22"/>
        </w:rPr>
        <w:t xml:space="preserve">RETFound's input requirement. Applied after preprocessing to avoid introducing artefacts into the CLAHE and masking steps.</w:t>
      </w:r>
    </w:p>
    <w:p>
      <w:pPr>
        <w:pStyle w:val="ListParagraph"/>
        <w:numPr>
          <w:ilvl w:val="0"/>
          <w:numId w:val="2"/>
        </w:numPr>
        <w:spacing w:after="40" w:before="40"/>
      </w:pPr>
      <w:r>
        <w:rPr>
          <w:rFonts w:ascii="Arial" w:cs="Arial" w:eastAsia="Arial" w:hAnsi="Arial"/>
          <w:b/>
          <w:bCs/>
          <w:color w:val="1A1A2E"/>
          <w:sz w:val="22"/>
          <w:szCs w:val="22"/>
        </w:rPr>
        <w:t xml:space="preserve">Step 5 — ImageNet Normalization: </w:t>
      </w:r>
      <w:r>
        <w:rPr>
          <w:rFonts w:ascii="Arial" w:cs="Arial" w:eastAsia="Arial" w:hAnsi="Arial"/>
          <w:color w:val="1A1A2E"/>
          <w:sz w:val="22"/>
          <w:szCs w:val="22"/>
        </w:rPr>
        <w:t xml:space="preserve">Subtract ImageNet mean [0.485, 0.456, 0.406], divide by ImageNet standard deviation [0.229, 0.224, 0.225]. Required because RETFound weights were initialized from an ImageNet-pretrained backbone.</w:t>
      </w:r>
    </w:p>
    <w:p>
      <w:pPr>
        <w:pStyle w:val="Heading2"/>
        <w:spacing w:after="120" w:before="300"/>
      </w:pPr>
      <w:r>
        <w:rPr>
          <w:rFonts w:ascii="Arial" w:cs="Arial" w:eastAsia="Arial" w:hAnsi="Arial"/>
          <w:b/>
          <w:bCs/>
          <w:color w:val="2E75B6"/>
          <w:sz w:val="28"/>
          <w:szCs w:val="28"/>
        </w:rPr>
        <w:t xml:space="preserve">5.2 Data Augmentation Stack</w:t>
      </w:r>
    </w:p>
    <w:p>
      <w:pPr>
        <w:spacing w:after="100" w:before="80"/>
      </w:pPr>
      <w:r>
        <w:rPr>
          <w:rFonts w:ascii="Arial" w:cs="Arial" w:eastAsia="Arial" w:hAnsi="Arial"/>
          <w:color w:val="1A1A2E"/>
          <w:sz w:val="22"/>
          <w:szCs w:val="22"/>
        </w:rPr>
        <w:t xml:space="preserve">Augmentation is applied only during training. Never applied during validation or inference on MESSIDOR-2.</w:t>
      </w:r>
    </w:p>
    <w:p>
      <w:pPr>
        <w:pStyle w:val="ListParagraph"/>
        <w:numPr>
          <w:ilvl w:val="0"/>
          <w:numId w:val="2"/>
        </w:numPr>
        <w:spacing w:after="40" w:before="40"/>
      </w:pPr>
      <w:r>
        <w:rPr>
          <w:rFonts w:ascii="Arial" w:cs="Arial" w:eastAsia="Arial" w:hAnsi="Arial"/>
          <w:b/>
          <w:bCs/>
          <w:color w:val="1A1A2E"/>
          <w:sz w:val="22"/>
          <w:szCs w:val="22"/>
        </w:rPr>
        <w:t xml:space="preserve">Horizontal flip: </w:t>
      </w:r>
      <w:r>
        <w:rPr>
          <w:rFonts w:ascii="Arial" w:cs="Arial" w:eastAsia="Arial" w:hAnsi="Arial"/>
          <w:color w:val="1A1A2E"/>
          <w:sz w:val="22"/>
          <w:szCs w:val="22"/>
        </w:rPr>
        <w:t xml:space="preserve">Safe. Retinal pathology has no clinically meaningful left-right asymmetry.</w:t>
      </w:r>
    </w:p>
    <w:p>
      <w:pPr>
        <w:pStyle w:val="ListParagraph"/>
        <w:numPr>
          <w:ilvl w:val="0"/>
          <w:numId w:val="2"/>
        </w:numPr>
        <w:spacing w:after="40" w:before="40"/>
      </w:pPr>
      <w:r>
        <w:rPr>
          <w:rFonts w:ascii="Arial" w:cs="Arial" w:eastAsia="Arial" w:hAnsi="Arial"/>
          <w:b/>
          <w:bCs/>
          <w:color w:val="1A1A2E"/>
          <w:sz w:val="22"/>
          <w:szCs w:val="22"/>
        </w:rPr>
        <w:t xml:space="preserve">Rotation up to ±30 degrees: </w:t>
      </w:r>
      <w:r>
        <w:rPr>
          <w:rFonts w:ascii="Arial" w:cs="Arial" w:eastAsia="Arial" w:hAnsi="Arial"/>
          <w:color w:val="1A1A2E"/>
          <w:sz w:val="22"/>
          <w:szCs w:val="22"/>
        </w:rPr>
        <w:t xml:space="preserve">Safe. Lesions appear at arbitrary orientations; optic disc-to-macula geometry is preserved under small rotations.</w:t>
      </w:r>
    </w:p>
    <w:p>
      <w:pPr>
        <w:pStyle w:val="ListParagraph"/>
        <w:numPr>
          <w:ilvl w:val="0"/>
          <w:numId w:val="2"/>
        </w:numPr>
        <w:spacing w:after="40" w:before="40"/>
      </w:pPr>
      <w:r>
        <w:rPr>
          <w:rFonts w:ascii="Arial" w:cs="Arial" w:eastAsia="Arial" w:hAnsi="Arial"/>
          <w:b/>
          <w:bCs/>
          <w:color w:val="1A1A2E"/>
          <w:sz w:val="22"/>
          <w:szCs w:val="22"/>
        </w:rPr>
        <w:t xml:space="preserve">Conservative colour jitter: </w:t>
      </w:r>
      <w:r>
        <w:rPr>
          <w:rFonts w:ascii="Arial" w:cs="Arial" w:eastAsia="Arial" w:hAnsi="Arial"/>
          <w:color w:val="1A1A2E"/>
          <w:sz w:val="22"/>
          <w:szCs w:val="22"/>
        </w:rPr>
        <w:t xml:space="preserve">Small brightness and contrast variation, very small saturation shift. Simulates camera exposure variability across clinical sites; directly addresses domain shift between the three training datasets. Keep conservative — aggressive shifts alter the diagnostic appearance of haemorrhages and exudates.</w:t>
      </w:r>
    </w:p>
    <w:p>
      <w:pPr>
        <w:pStyle w:val="ListParagraph"/>
        <w:numPr>
          <w:ilvl w:val="0"/>
          <w:numId w:val="2"/>
        </w:numPr>
        <w:spacing w:after="40" w:before="40"/>
      </w:pPr>
      <w:r>
        <w:rPr>
          <w:rFonts w:ascii="Arial" w:cs="Arial" w:eastAsia="Arial" w:hAnsi="Arial"/>
          <w:b/>
          <w:bCs/>
          <w:color w:val="1A1A2E"/>
          <w:sz w:val="22"/>
          <w:szCs w:val="22"/>
        </w:rPr>
        <w:t xml:space="preserve">Gaussian blur (small kernel): </w:t>
      </w:r>
      <w:r>
        <w:rPr>
          <w:rFonts w:ascii="Arial" w:cs="Arial" w:eastAsia="Arial" w:hAnsi="Arial"/>
          <w:color w:val="1A1A2E"/>
          <w:sz w:val="22"/>
          <w:szCs w:val="22"/>
        </w:rPr>
        <w:t xml:space="preserve">Simulates minor focus variation across clinical sites. Safe.</w:t>
      </w:r>
    </w:p>
    <w:p>
      <w:pPr>
        <w:pStyle w:val="ListParagraph"/>
        <w:numPr>
          <w:ilvl w:val="0"/>
          <w:numId w:val="2"/>
        </w:numPr>
        <w:spacing w:after="40" w:before="40"/>
      </w:pPr>
      <w:r>
        <w:rPr>
          <w:rFonts w:ascii="Arial" w:cs="Arial" w:eastAsia="Arial" w:hAnsi="Arial"/>
          <w:b/>
          <w:bCs/>
          <w:color w:val="1A1A2E"/>
          <w:sz w:val="22"/>
          <w:szCs w:val="22"/>
        </w:rPr>
        <w:t xml:space="preserve">Centre-biased random resized crop: </w:t>
      </w:r>
      <w:r>
        <w:rPr>
          <w:rFonts w:ascii="Arial" w:cs="Arial" w:eastAsia="Arial" w:hAnsi="Arial"/>
          <w:color w:val="1A1A2E"/>
          <w:sz w:val="22"/>
          <w:szCs w:val="22"/>
        </w:rPr>
        <w:t xml:space="preserve">Ensures the crop always contains the central 60–70% of the image. The optic disc and macula are diagnostically critical — fully random crops risk removing them. Centre-biased, not fully random.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000" w:sz="4"/>
              <w:left w:val="thick" w:color="8B4000" w:sz="16"/>
              <w:bottom w:val="single" w:color="8B4000" w:sz="4"/>
              <w:right w:val="single" w:color="8B4000" w:sz="4"/>
            </w:tcBorders>
            <w:shd w:fill="FFF3E0" w:val="clear"/>
            <w:tcMar>
              <w:top w:type="dxa" w:w="120"/>
              <w:left w:type="dxa" w:w="200"/>
              <w:bottom w:type="dxa" w:w="120"/>
              <w:right w:type="dxa" w:w="120"/>
            </w:tcMar>
          </w:tcPr>
          <w:p>
            <w:r>
              <w:rPr>
                <w:rFonts w:ascii="Arial" w:cs="Arial" w:eastAsia="Arial" w:hAnsi="Arial"/>
                <w:b/>
                <w:bCs/>
                <w:color w:val="8B4000"/>
                <w:sz w:val="20"/>
                <w:szCs w:val="20"/>
              </w:rPr>
              <w:t xml:space="preserve">Augmentations to avoid</w:t>
            </w:r>
          </w:p>
          <w:p>
            <w:pPr>
              <w:spacing w:before="40"/>
            </w:pPr>
            <w:r>
              <w:rPr>
                <w:rFonts w:ascii="Arial" w:cs="Arial" w:eastAsia="Arial" w:hAnsi="Arial"/>
                <w:color w:val="1A1A2E"/>
                <w:sz w:val="22"/>
                <w:szCs w:val="22"/>
              </w:rPr>
              <w:t xml:space="preserve">Aggressive hue/saturation shifts (alter haemorrhage appearance). Elastic deformation (distorts vessel morphology, a learned feature). Mixup and CutMix (create ambiguous multi-label synthetic images with no real clinical interpretation). Fully random crops (risk removing optic disc or macula).</w:t>
            </w:r>
          </w:p>
        </w:tc>
      </w:tr>
    </w:tbl>
    <w:p>
      <w:pPr>
        <w:pStyle w:val="Heading2"/>
        <w:spacing w:after="120" w:before="300"/>
      </w:pPr>
      <w:r>
        <w:rPr>
          <w:rFonts w:ascii="Arial" w:cs="Arial" w:eastAsia="Arial" w:hAnsi="Arial"/>
          <w:b/>
          <w:bCs/>
          <w:color w:val="2E75B6"/>
          <w:sz w:val="28"/>
          <w:szCs w:val="28"/>
        </w:rPr>
        <w:t xml:space="preserve">5.3 Training Configuration</w:t>
      </w:r>
    </w:p>
    <w:p>
      <w:pPr>
        <w:pStyle w:val="Heading3"/>
        <w:spacing w:after="80" w:before="200"/>
      </w:pPr>
      <w:r>
        <w:rPr>
          <w:rFonts w:ascii="Arial" w:cs="Arial" w:eastAsia="Arial" w:hAnsi="Arial"/>
          <w:b/>
          <w:bCs/>
          <w:color w:val="1A1A2E"/>
          <w:sz w:val="24"/>
          <w:szCs w:val="24"/>
        </w:rPr>
        <w:t xml:space="preserve">Stage 1 — Backbone Frozen</w:t>
      </w:r>
    </w:p>
    <w:p>
      <w:pPr>
        <w:pStyle w:val="ListParagraph"/>
        <w:numPr>
          <w:ilvl w:val="0"/>
          <w:numId w:val="2"/>
        </w:numPr>
        <w:spacing w:after="40" w:before="40"/>
      </w:pPr>
      <w:r>
        <w:rPr>
          <w:rFonts w:ascii="Arial" w:cs="Arial" w:eastAsia="Arial" w:hAnsi="Arial"/>
          <w:b/>
          <w:bCs/>
          <w:color w:val="1A1A2E"/>
          <w:sz w:val="22"/>
          <w:szCs w:val="22"/>
        </w:rPr>
        <w:t xml:space="preserve">Batch size: </w:t>
      </w:r>
      <w:r>
        <w:rPr>
          <w:rFonts w:ascii="Arial" w:cs="Arial" w:eastAsia="Arial" w:hAnsi="Arial"/>
          <w:color w:val="1A1A2E"/>
          <w:sz w:val="22"/>
          <w:szCs w:val="22"/>
        </w:rPr>
        <w:t xml:space="preserve">32</w:t>
      </w:r>
    </w:p>
    <w:p>
      <w:pPr>
        <w:pStyle w:val="ListParagraph"/>
        <w:numPr>
          <w:ilvl w:val="0"/>
          <w:numId w:val="2"/>
        </w:numPr>
        <w:spacing w:after="40" w:before="40"/>
      </w:pPr>
      <w:r>
        <w:rPr>
          <w:rFonts w:ascii="Arial" w:cs="Arial" w:eastAsia="Arial" w:hAnsi="Arial"/>
          <w:b/>
          <w:bCs/>
          <w:color w:val="1A1A2E"/>
          <w:sz w:val="22"/>
          <w:szCs w:val="22"/>
        </w:rPr>
        <w:t xml:space="preserve">Learning rate: </w:t>
      </w:r>
      <w:r>
        <w:rPr>
          <w:rFonts w:ascii="Arial" w:cs="Arial" w:eastAsia="Arial" w:hAnsi="Arial"/>
          <w:color w:val="1A1A2E"/>
          <w:sz w:val="22"/>
          <w:szCs w:val="22"/>
        </w:rPr>
        <w:t xml:space="preserve">1e-3, cosine decay</w:t>
      </w:r>
    </w:p>
    <w:p>
      <w:pPr>
        <w:pStyle w:val="ListParagraph"/>
        <w:numPr>
          <w:ilvl w:val="0"/>
          <w:numId w:val="2"/>
        </w:numPr>
        <w:spacing w:after="40" w:before="40"/>
      </w:pPr>
      <w:r>
        <w:rPr>
          <w:rFonts w:ascii="Arial" w:cs="Arial" w:eastAsia="Arial" w:hAnsi="Arial"/>
          <w:b/>
          <w:bCs/>
          <w:color w:val="1A1A2E"/>
          <w:sz w:val="22"/>
          <w:szCs w:val="22"/>
        </w:rPr>
        <w:t xml:space="preserve">Max epochs: </w:t>
      </w:r>
      <w:r>
        <w:rPr>
          <w:rFonts w:ascii="Arial" w:cs="Arial" w:eastAsia="Arial" w:hAnsi="Arial"/>
          <w:color w:val="1A1A2E"/>
          <w:sz w:val="22"/>
          <w:szCs w:val="22"/>
        </w:rPr>
        <w:t xml:space="preserve">15</w:t>
      </w:r>
    </w:p>
    <w:p>
      <w:pPr>
        <w:pStyle w:val="ListParagraph"/>
        <w:numPr>
          <w:ilvl w:val="0"/>
          <w:numId w:val="2"/>
        </w:numPr>
        <w:spacing w:after="40" w:before="40"/>
      </w:pPr>
      <w:r>
        <w:rPr>
          <w:rFonts w:ascii="Arial" w:cs="Arial" w:eastAsia="Arial" w:hAnsi="Arial"/>
          <w:b/>
          <w:bCs/>
          <w:color w:val="1A1A2E"/>
          <w:sz w:val="22"/>
          <w:szCs w:val="22"/>
        </w:rPr>
        <w:t xml:space="preserve">Early stopping: </w:t>
      </w:r>
      <w:r>
        <w:rPr>
          <w:rFonts w:ascii="Arial" w:cs="Arial" w:eastAsia="Arial" w:hAnsi="Arial"/>
          <w:color w:val="1A1A2E"/>
          <w:sz w:val="22"/>
          <w:szCs w:val="22"/>
        </w:rPr>
        <w:t xml:space="preserve">Patience 5 on aggregate validation loss</w:t>
      </w:r>
    </w:p>
    <w:p>
      <w:pPr>
        <w:pStyle w:val="ListParagraph"/>
        <w:numPr>
          <w:ilvl w:val="0"/>
          <w:numId w:val="2"/>
        </w:numPr>
        <w:spacing w:after="40" w:before="40"/>
      </w:pPr>
      <w:r>
        <w:rPr>
          <w:rFonts w:ascii="Arial" w:cs="Arial" w:eastAsia="Arial" w:hAnsi="Arial"/>
          <w:b/>
          <w:bCs/>
          <w:color w:val="1A1A2E"/>
          <w:sz w:val="22"/>
          <w:szCs w:val="22"/>
        </w:rPr>
        <w:t xml:space="preserve">Parameters trained: </w:t>
      </w:r>
      <w:r>
        <w:rPr>
          <w:rFonts w:ascii="Arial" w:cs="Arial" w:eastAsia="Arial" w:hAnsi="Arial"/>
          <w:color w:val="1A1A2E"/>
          <w:sz w:val="22"/>
          <w:szCs w:val="22"/>
        </w:rPr>
        <w:t xml:space="preserve">Shared projection layer + 6 task heads only</w:t>
      </w:r>
    </w:p>
    <w:p>
      <w:pPr>
        <w:pStyle w:val="Heading3"/>
        <w:spacing w:after="80" w:before="200"/>
      </w:pPr>
      <w:r>
        <w:rPr>
          <w:rFonts w:ascii="Arial" w:cs="Arial" w:eastAsia="Arial" w:hAnsi="Arial"/>
          <w:b/>
          <w:bCs/>
          <w:color w:val="1A1A2E"/>
          <w:sz w:val="24"/>
          <w:szCs w:val="24"/>
        </w:rPr>
        <w:t xml:space="preserve">Stage 2 — End-to-End</w:t>
      </w:r>
    </w:p>
    <w:p>
      <w:pPr>
        <w:pStyle w:val="ListParagraph"/>
        <w:numPr>
          <w:ilvl w:val="0"/>
          <w:numId w:val="2"/>
        </w:numPr>
        <w:spacing w:after="40" w:before="40"/>
      </w:pPr>
      <w:r>
        <w:rPr>
          <w:rFonts w:ascii="Arial" w:cs="Arial" w:eastAsia="Arial" w:hAnsi="Arial"/>
          <w:b/>
          <w:bCs/>
          <w:color w:val="1A1A2E"/>
          <w:sz w:val="22"/>
          <w:szCs w:val="22"/>
        </w:rPr>
        <w:t xml:space="preserve">Batch size: </w:t>
      </w:r>
      <w:r>
        <w:rPr>
          <w:rFonts w:ascii="Arial" w:cs="Arial" w:eastAsia="Arial" w:hAnsi="Arial"/>
          <w:color w:val="1A1A2E"/>
          <w:sz w:val="22"/>
          <w:szCs w:val="22"/>
        </w:rPr>
        <w:t xml:space="preserve">32</w:t>
      </w:r>
    </w:p>
    <w:p>
      <w:pPr>
        <w:pStyle w:val="ListParagraph"/>
        <w:numPr>
          <w:ilvl w:val="0"/>
          <w:numId w:val="2"/>
        </w:numPr>
        <w:spacing w:after="40" w:before="40"/>
      </w:pPr>
      <w:r>
        <w:rPr>
          <w:rFonts w:ascii="Arial" w:cs="Arial" w:eastAsia="Arial" w:hAnsi="Arial"/>
          <w:b/>
          <w:bCs/>
          <w:color w:val="1A1A2E"/>
          <w:sz w:val="22"/>
          <w:szCs w:val="22"/>
        </w:rPr>
        <w:t xml:space="preserve">Learning rate: </w:t>
      </w:r>
      <w:r>
        <w:rPr>
          <w:rFonts w:ascii="Arial" w:cs="Arial" w:eastAsia="Arial" w:hAnsi="Arial"/>
          <w:color w:val="1A1A2E"/>
          <w:sz w:val="22"/>
          <w:szCs w:val="22"/>
        </w:rPr>
        <w:t xml:space="preserve">Backbone 1e-5, heads 1e-4 (differential)</w:t>
      </w:r>
    </w:p>
    <w:p>
      <w:pPr>
        <w:pStyle w:val="ListParagraph"/>
        <w:numPr>
          <w:ilvl w:val="0"/>
          <w:numId w:val="2"/>
        </w:numPr>
        <w:spacing w:after="40" w:before="40"/>
      </w:pPr>
      <w:r>
        <w:rPr>
          <w:rFonts w:ascii="Arial" w:cs="Arial" w:eastAsia="Arial" w:hAnsi="Arial"/>
          <w:b/>
          <w:bCs/>
          <w:color w:val="1A1A2E"/>
          <w:sz w:val="22"/>
          <w:szCs w:val="22"/>
        </w:rPr>
        <w:t xml:space="preserve">Warmup: </w:t>
      </w:r>
      <w:r>
        <w:rPr>
          <w:rFonts w:ascii="Arial" w:cs="Arial" w:eastAsia="Arial" w:hAnsi="Arial"/>
          <w:color w:val="1A1A2E"/>
          <w:sz w:val="22"/>
          <w:szCs w:val="22"/>
        </w:rPr>
        <w:t xml:space="preserve">3-epoch linear warmup before cosine decay</w:t>
      </w:r>
    </w:p>
    <w:p>
      <w:pPr>
        <w:pStyle w:val="ListParagraph"/>
        <w:numPr>
          <w:ilvl w:val="0"/>
          <w:numId w:val="2"/>
        </w:numPr>
        <w:spacing w:after="40" w:before="40"/>
      </w:pPr>
      <w:r>
        <w:rPr>
          <w:rFonts w:ascii="Arial" w:cs="Arial" w:eastAsia="Arial" w:hAnsi="Arial"/>
          <w:b/>
          <w:bCs/>
          <w:color w:val="1A1A2E"/>
          <w:sz w:val="22"/>
          <w:szCs w:val="22"/>
        </w:rPr>
        <w:t xml:space="preserve">Max epochs: </w:t>
      </w:r>
      <w:r>
        <w:rPr>
          <w:rFonts w:ascii="Arial" w:cs="Arial" w:eastAsia="Arial" w:hAnsi="Arial"/>
          <w:color w:val="1A1A2E"/>
          <w:sz w:val="22"/>
          <w:szCs w:val="22"/>
        </w:rPr>
        <w:t xml:space="preserve">30</w:t>
      </w:r>
    </w:p>
    <w:p>
      <w:pPr>
        <w:pStyle w:val="ListParagraph"/>
        <w:numPr>
          <w:ilvl w:val="0"/>
          <w:numId w:val="2"/>
        </w:numPr>
        <w:spacing w:after="40" w:before="40"/>
      </w:pPr>
      <w:r>
        <w:rPr>
          <w:rFonts w:ascii="Arial" w:cs="Arial" w:eastAsia="Arial" w:hAnsi="Arial"/>
          <w:b/>
          <w:bCs/>
          <w:color w:val="1A1A2E"/>
          <w:sz w:val="22"/>
          <w:szCs w:val="22"/>
        </w:rPr>
        <w:t xml:space="preserve">Early stopping: </w:t>
      </w:r>
      <w:r>
        <w:rPr>
          <w:rFonts w:ascii="Arial" w:cs="Arial" w:eastAsia="Arial" w:hAnsi="Arial"/>
          <w:color w:val="1A1A2E"/>
          <w:sz w:val="22"/>
          <w:szCs w:val="22"/>
        </w:rPr>
        <w:t xml:space="preserve">Patience 5 on mean validation AUROC across binary heads</w:t>
      </w:r>
    </w:p>
    <w:p>
      <w:pPr>
        <w:pStyle w:val="ListParagraph"/>
        <w:numPr>
          <w:ilvl w:val="0"/>
          <w:numId w:val="2"/>
        </w:numPr>
        <w:spacing w:after="40" w:before="40"/>
      </w:pPr>
      <w:r>
        <w:rPr>
          <w:rFonts w:ascii="Arial" w:cs="Arial" w:eastAsia="Arial" w:hAnsi="Arial"/>
          <w:b/>
          <w:bCs/>
          <w:color w:val="1A1A2E"/>
          <w:sz w:val="22"/>
          <w:szCs w:val="22"/>
        </w:rPr>
        <w:t xml:space="preserve">Gradient clipping: </w:t>
      </w:r>
      <w:r>
        <w:rPr>
          <w:rFonts w:ascii="Arial" w:cs="Arial" w:eastAsia="Arial" w:hAnsi="Arial"/>
          <w:color w:val="1A1A2E"/>
          <w:sz w:val="22"/>
          <w:szCs w:val="22"/>
        </w:rPr>
        <w:t xml:space="preserve">Max norm 1.0</w:t>
      </w:r>
    </w:p>
    <w:p>
      <w:pPr>
        <w:pStyle w:val="ListParagraph"/>
        <w:numPr>
          <w:ilvl w:val="0"/>
          <w:numId w:val="2"/>
        </w:numPr>
        <w:spacing w:after="40" w:before="40"/>
      </w:pPr>
      <w:r>
        <w:rPr>
          <w:rFonts w:ascii="Arial" w:cs="Arial" w:eastAsia="Arial" w:hAnsi="Arial"/>
          <w:b/>
          <w:bCs/>
          <w:color w:val="1A1A2E"/>
          <w:sz w:val="22"/>
          <w:szCs w:val="22"/>
        </w:rPr>
        <w:t xml:space="preserve">Optimizer: </w:t>
      </w:r>
      <w:r>
        <w:rPr>
          <w:rFonts w:ascii="Arial" w:cs="Arial" w:eastAsia="Arial" w:hAnsi="Arial"/>
          <w:color w:val="1A1A2E"/>
          <w:sz w:val="22"/>
          <w:szCs w:val="22"/>
        </w:rPr>
        <w:t xml:space="preserve">AdamW with weight decay 0.05</w:t>
      </w:r>
    </w:p>
    <w:p>
      <w:pPr>
        <w:pStyle w:val="Heading2"/>
        <w:spacing w:after="120" w:before="300"/>
      </w:pPr>
      <w:r>
        <w:rPr>
          <w:rFonts w:ascii="Arial" w:cs="Arial" w:eastAsia="Arial" w:hAnsi="Arial"/>
          <w:b/>
          <w:bCs/>
          <w:color w:val="2E75B6"/>
          <w:sz w:val="28"/>
          <w:szCs w:val="28"/>
        </w:rPr>
        <w:t xml:space="preserve">5.4 Overfitting Defences</w:t>
      </w:r>
    </w:p>
    <w:p>
      <w:pPr>
        <w:spacing w:after="100" w:before="80"/>
      </w:pPr>
      <w:r>
        <w:rPr>
          <w:rFonts w:ascii="Arial" w:cs="Arial" w:eastAsia="Arial" w:hAnsi="Arial"/>
          <w:color w:val="1A1A2E"/>
          <w:sz w:val="22"/>
          <w:szCs w:val="22"/>
        </w:rPr>
        <w:t xml:space="preserve">With 12,000 training images and a large ViT backbone, overfitting is the primary training risk. Defences in order of importance:</w:t>
      </w:r>
    </w:p>
    <w:p>
      <w:pPr>
        <w:pStyle w:val="ListParagraph"/>
        <w:numPr>
          <w:ilvl w:val="0"/>
          <w:numId w:val="2"/>
        </w:numPr>
        <w:spacing w:after="40" w:before="40"/>
      </w:pPr>
      <w:r>
        <w:rPr>
          <w:rFonts w:ascii="Arial" w:cs="Arial" w:eastAsia="Arial" w:hAnsi="Arial"/>
          <w:b/>
          <w:bCs/>
          <w:color w:val="1A1A2E"/>
          <w:sz w:val="22"/>
          <w:szCs w:val="22"/>
        </w:rPr>
        <w:t xml:space="preserve">Augmentation stack: </w:t>
      </w:r>
      <w:r>
        <w:rPr>
          <w:rFonts w:ascii="Arial" w:cs="Arial" w:eastAsia="Arial" w:hAnsi="Arial"/>
          <w:color w:val="1A1A2E"/>
          <w:sz w:val="22"/>
          <w:szCs w:val="22"/>
        </w:rPr>
        <w:t xml:space="preserve">Primary defence. Applied aggressively within safe bounds (Section 5.2).</w:t>
      </w:r>
    </w:p>
    <w:p>
      <w:pPr>
        <w:pStyle w:val="ListParagraph"/>
        <w:numPr>
          <w:ilvl w:val="0"/>
          <w:numId w:val="2"/>
        </w:numPr>
        <w:spacing w:after="40" w:before="40"/>
      </w:pPr>
      <w:r>
        <w:rPr>
          <w:rFonts w:ascii="Arial" w:cs="Arial" w:eastAsia="Arial" w:hAnsi="Arial"/>
          <w:b/>
          <w:bCs/>
          <w:color w:val="1A1A2E"/>
          <w:sz w:val="22"/>
          <w:szCs w:val="22"/>
        </w:rPr>
        <w:t xml:space="preserve">Dropout: </w:t>
      </w:r>
      <w:r>
        <w:rPr>
          <w:rFonts w:ascii="Arial" w:cs="Arial" w:eastAsia="Arial" w:hAnsi="Arial"/>
          <w:color w:val="1A1A2E"/>
          <w:sz w:val="22"/>
          <w:szCs w:val="22"/>
        </w:rPr>
        <w:t xml:space="preserve">0.1 to 0.2 on task-specific heads. Not applied inside the backbone — RETFound's internal dropout settings are preserved.</w:t>
      </w:r>
    </w:p>
    <w:p>
      <w:pPr>
        <w:pStyle w:val="ListParagraph"/>
        <w:numPr>
          <w:ilvl w:val="0"/>
          <w:numId w:val="2"/>
        </w:numPr>
        <w:spacing w:after="40" w:before="40"/>
      </w:pPr>
      <w:r>
        <w:rPr>
          <w:rFonts w:ascii="Arial" w:cs="Arial" w:eastAsia="Arial" w:hAnsi="Arial"/>
          <w:b/>
          <w:bCs/>
          <w:color w:val="1A1A2E"/>
          <w:sz w:val="22"/>
          <w:szCs w:val="22"/>
        </w:rPr>
        <w:t xml:space="preserve">Weight decay: </w:t>
      </w:r>
      <w:r>
        <w:rPr>
          <w:rFonts w:ascii="Arial" w:cs="Arial" w:eastAsia="Arial" w:hAnsi="Arial"/>
          <w:color w:val="1A1A2E"/>
          <w:sz w:val="22"/>
          <w:szCs w:val="22"/>
        </w:rPr>
        <w:t xml:space="preserve">0.05 via AdamW.</w:t>
      </w:r>
    </w:p>
    <w:p>
      <w:pPr>
        <w:pStyle w:val="ListParagraph"/>
        <w:numPr>
          <w:ilvl w:val="0"/>
          <w:numId w:val="2"/>
        </w:numPr>
        <w:spacing w:after="40" w:before="40"/>
      </w:pPr>
      <w:r>
        <w:rPr>
          <w:rFonts w:ascii="Arial" w:cs="Arial" w:eastAsia="Arial" w:hAnsi="Arial"/>
          <w:b/>
          <w:bCs/>
          <w:color w:val="1A1A2E"/>
          <w:sz w:val="22"/>
          <w:szCs w:val="22"/>
        </w:rPr>
        <w:t xml:space="preserve">Label smoothing: </w:t>
      </w:r>
      <w:r>
        <w:rPr>
          <w:rFonts w:ascii="Arial" w:cs="Arial" w:eastAsia="Arial" w:hAnsi="Arial"/>
          <w:color w:val="1A1A2E"/>
          <w:sz w:val="22"/>
          <w:szCs w:val="22"/>
        </w:rPr>
        <w:t xml:space="preserve">0.1 on binary heads.</w:t>
      </w:r>
    </w:p>
    <w:p>
      <w:pPr>
        <w:pStyle w:val="ListParagraph"/>
        <w:numPr>
          <w:ilvl w:val="0"/>
          <w:numId w:val="2"/>
        </w:numPr>
        <w:spacing w:after="40" w:before="40"/>
      </w:pPr>
      <w:r>
        <w:rPr>
          <w:rFonts w:ascii="Arial" w:cs="Arial" w:eastAsia="Arial" w:hAnsi="Arial"/>
          <w:b/>
          <w:bCs/>
          <w:color w:val="1A1A2E"/>
          <w:sz w:val="22"/>
          <w:szCs w:val="22"/>
        </w:rPr>
        <w:t xml:space="preserve">Projection layer reduction: </w:t>
      </w:r>
      <w:r>
        <w:rPr>
          <w:rFonts w:ascii="Arial" w:cs="Arial" w:eastAsia="Arial" w:hAnsi="Arial"/>
          <w:color w:val="1A1A2E"/>
          <w:sz w:val="22"/>
          <w:szCs w:val="22"/>
        </w:rPr>
        <w:t xml:space="preserve">If training-validation gap persists after all above measures, reduce shared projection from 512 to 256 dimensions.</w:t>
      </w:r>
    </w:p>
    <w:p>
      <w:pPr>
        <w:pStyle w:val="Heading2"/>
        <w:spacing w:after="120" w:before="300"/>
      </w:pPr>
      <w:r>
        <w:rPr>
          <w:rFonts w:ascii="Arial" w:cs="Arial" w:eastAsia="Arial" w:hAnsi="Arial"/>
          <w:b/>
          <w:bCs/>
          <w:color w:val="2E75B6"/>
          <w:sz w:val="28"/>
          <w:szCs w:val="28"/>
        </w:rPr>
        <w:t xml:space="preserve">5.5 Compute Setup</w:t>
      </w:r>
    </w:p>
    <w:p>
      <w:pPr>
        <w:spacing w:after="100" w:before="80"/>
      </w:pPr>
      <w:r>
        <w:rPr>
          <w:rFonts w:ascii="Arial" w:cs="Arial" w:eastAsia="Arial" w:hAnsi="Arial"/>
          <w:color w:val="1A1A2E"/>
          <w:sz w:val="22"/>
          <w:szCs w:val="22"/>
        </w:rPr>
        <w:t xml:space="preserve">GPU: RTX 5030. Sufficient for end-to-end Stage 2 fine-tuning at batch size 32. No gradient accumulation workarounds required.</w:t>
      </w:r>
    </w:p>
    <w:p>
      <w:pPr>
        <w:spacing w:after="0" w:before="6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6. Evaluation Metrics</w:t>
      </w:r>
    </w:p>
    <w:p>
      <w:pPr>
        <w:pStyle w:val="Heading2"/>
        <w:spacing w:after="120" w:before="300"/>
      </w:pPr>
      <w:r>
        <w:rPr>
          <w:rFonts w:ascii="Arial" w:cs="Arial" w:eastAsia="Arial" w:hAnsi="Arial"/>
          <w:b/>
          <w:bCs/>
          <w:color w:val="2E75B6"/>
          <w:sz w:val="28"/>
          <w:szCs w:val="28"/>
        </w:rPr>
        <w:t xml:space="preserve">6.1 Per-Head Metrics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Head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 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Secondary Metrics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DR Presence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Binary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AUROC</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AUPRC, Sensitivity @ 90%, Specificity</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DR Severity</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Ordinal</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Quadratic Weighted Kappa</w:t>
            </w:r>
          </w:p>
        </w:tc>
        <w:tc>
          <w:tcPr>
            <w:tcW w:type="dxa" w:w="2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Mean Absolute Error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Glaucoma</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Binary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AUROC</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AUPRC, Sensitivity @ 90%, Specificity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AMD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Binary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AUROC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AUPRC, Sensitivity @ 90%, Specificity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Hyp. Retinopathy</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Binary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AUROC</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AUPRC, Sensitivity @ 90%, Specificity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Normal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Binary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AUROC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AUPRC, Specificity</w:t>
            </w:r>
          </w:p>
        </w:tc>
      </w:tr>
    </w:tbl>
    <w:p>
      <w:pPr>
        <w:spacing w:after="0" w:before="60"/>
      </w:pPr>
      <w:r>
        <w:t xml:space="preserve"/>
      </w:r>
    </w:p>
    <w:p>
      <w:pPr>
        <w:spacing w:after="100" w:before="80"/>
      </w:pPr>
      <w:r>
        <w:rPr>
          <w:rFonts w:ascii="Arial" w:cs="Arial" w:eastAsia="Arial" w:hAnsi="Arial"/>
          <w:color w:val="1A1A2E"/>
          <w:sz w:val="22"/>
          <w:szCs w:val="22"/>
        </w:rPr>
        <w:t xml:space="preserve">Sensitivity and Specificity are reported at the threshold that achieves at least 90% sensitivity — the clinical screening standard. This threshold is chosen because in screening contexts, missing a true positive (low sensitivity) is a more serious error than a false positive. The operating threshold and the resulting specificity are reported together.</w:t>
      </w:r>
    </w:p>
    <w:p>
      <w:pPr>
        <w:spacing w:after="100" w:before="80"/>
      </w:pPr>
      <w:r>
        <w:rPr>
          <w:rFonts w:ascii="Arial" w:cs="Arial" w:eastAsia="Arial" w:hAnsi="Arial"/>
          <w:color w:val="1A1A2E"/>
          <w:sz w:val="22"/>
          <w:szCs w:val="22"/>
        </w:rPr>
        <w:t xml:space="preserve">Standard multi-class accuracy is not reported for the DR Severity head. It treats all misclassifications equally and is the wrong metric for ordinal data. Quadratic Weighted Kappa is the field standard specifically because it penalises far-off predictions more harshly than adjacent-grade errors.</w:t>
      </w:r>
    </w:p>
    <w:p>
      <w:pPr>
        <w:pStyle w:val="Heading2"/>
        <w:spacing w:after="120" w:before="300"/>
      </w:pPr>
      <w:r>
        <w:rPr>
          <w:rFonts w:ascii="Arial" w:cs="Arial" w:eastAsia="Arial" w:hAnsi="Arial"/>
          <w:b/>
          <w:bCs/>
          <w:color w:val="2E75B6"/>
          <w:sz w:val="28"/>
          <w:szCs w:val="28"/>
        </w:rPr>
        <w:t xml:space="preserve">6.2 Aggregate Reporting</w:t>
      </w:r>
    </w:p>
    <w:p>
      <w:pPr>
        <w:pStyle w:val="ListParagraph"/>
        <w:numPr>
          <w:ilvl w:val="0"/>
          <w:numId w:val="2"/>
        </w:numPr>
        <w:spacing w:after="40" w:before="40"/>
      </w:pPr>
      <w:r>
        <w:rPr>
          <w:rFonts w:ascii="Arial" w:cs="Arial" w:eastAsia="Arial" w:hAnsi="Arial"/>
          <w:b/>
          <w:bCs/>
          <w:color w:val="1A1A2E"/>
          <w:sz w:val="22"/>
          <w:szCs w:val="22"/>
        </w:rPr>
        <w:t xml:space="preserve">Primary headline metric: </w:t>
      </w:r>
      <w:r>
        <w:rPr>
          <w:rFonts w:ascii="Arial" w:cs="Arial" w:eastAsia="Arial" w:hAnsi="Arial"/>
          <w:color w:val="1A1A2E"/>
          <w:sz w:val="22"/>
          <w:szCs w:val="22"/>
        </w:rPr>
        <w:t xml:space="preserve">Mean AUROC across all five binary detection heads. Reported as a single number leading the results section.</w:t>
      </w:r>
    </w:p>
    <w:p>
      <w:pPr>
        <w:pStyle w:val="ListParagraph"/>
        <w:numPr>
          <w:ilvl w:val="0"/>
          <w:numId w:val="2"/>
        </w:numPr>
        <w:spacing w:after="40" w:before="40"/>
      </w:pPr>
      <w:r>
        <w:rPr>
          <w:rFonts w:ascii="Arial" w:cs="Arial" w:eastAsia="Arial" w:hAnsi="Arial"/>
          <w:b/>
          <w:bCs/>
          <w:color w:val="1A1A2E"/>
          <w:sz w:val="22"/>
          <w:szCs w:val="22"/>
        </w:rPr>
        <w:t xml:space="preserve">Composite metric (for detailed reporting): </w:t>
      </w:r>
      <w:r>
        <w:rPr>
          <w:rFonts w:ascii="Arial" w:cs="Arial" w:eastAsia="Arial" w:hAnsi="Arial"/>
          <w:color w:val="1A1A2E"/>
          <w:sz w:val="22"/>
          <w:szCs w:val="22"/>
        </w:rPr>
        <w:t xml:space="preserve">Average of mean binary AUROC and normalized Quadratic Weighted Kappa (scaled to 0–1 range), providing a single number that includes the ordinal head.</w:t>
      </w:r>
    </w:p>
    <w:p>
      <w:pPr>
        <w:pStyle w:val="ListParagraph"/>
        <w:numPr>
          <w:ilvl w:val="0"/>
          <w:numId w:val="2"/>
        </w:numPr>
        <w:spacing w:after="40" w:before="40"/>
      </w:pPr>
      <w:r>
        <w:rPr>
          <w:rFonts w:ascii="Arial" w:cs="Arial" w:eastAsia="Arial" w:hAnsi="Arial"/>
          <w:b/>
          <w:bCs/>
          <w:color w:val="1A1A2E"/>
          <w:sz w:val="22"/>
          <w:szCs w:val="22"/>
        </w:rPr>
        <w:t xml:space="preserve">Per-head table: </w:t>
      </w:r>
      <w:r>
        <w:rPr>
          <w:rFonts w:ascii="Arial" w:cs="Arial" w:eastAsia="Arial" w:hAnsi="Arial"/>
          <w:color w:val="1A1A2E"/>
          <w:sz w:val="22"/>
          <w:szCs w:val="22"/>
        </w:rPr>
        <w:t xml:space="preserve">Every head is reported individually. Aggregate metrics never replace per-head reporting. Admissions readers and reviewers will examine per-disease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b/>
                <w:bCs/>
                <w:color w:val="2E75B6"/>
                <w:sz w:val="20"/>
                <w:szCs w:val="20"/>
              </w:rPr>
              <w:t xml:space="preserve">On intellectual honesty</w:t>
            </w:r>
          </w:p>
          <w:p>
            <w:pPr>
              <w:spacing w:before="40"/>
            </w:pPr>
            <w:r>
              <w:rPr>
                <w:rFonts w:ascii="Arial" w:cs="Arial" w:eastAsia="Arial" w:hAnsi="Arial"/>
                <w:color w:val="1A1A2E"/>
                <w:sz w:val="22"/>
                <w:szCs w:val="22"/>
              </w:rPr>
              <w:t xml:space="preserve">Do not suppress weak heads from reporting. If Hypertensive Retinopathy underperforms due to low label count, report it and explain the cause. Acknowledging and explaining performance gaps is a stronger signal of research maturity than hiding them.</w:t>
            </w:r>
          </w:p>
        </w:tc>
      </w:tr>
    </w:tbl>
    <w:p>
      <w:pPr>
        <w:pStyle w:val="Heading2"/>
        <w:spacing w:after="120" w:before="300"/>
      </w:pPr>
      <w:r>
        <w:rPr>
          <w:rFonts w:ascii="Arial" w:cs="Arial" w:eastAsia="Arial" w:hAnsi="Arial"/>
          <w:b/>
          <w:bCs/>
          <w:color w:val="2E75B6"/>
          <w:sz w:val="28"/>
          <w:szCs w:val="28"/>
        </w:rPr>
        <w:t xml:space="preserve">6.3 MESSIDOR-2 External Validation</w:t>
      </w:r>
    </w:p>
    <w:p>
      <w:pPr>
        <w:pStyle w:val="Heading3"/>
        <w:spacing w:after="80" w:before="200"/>
      </w:pPr>
      <w:r>
        <w:rPr>
          <w:rFonts w:ascii="Arial" w:cs="Arial" w:eastAsia="Arial" w:hAnsi="Arial"/>
          <w:b/>
          <w:bCs/>
          <w:color w:val="1A1A2E"/>
          <w:sz w:val="24"/>
          <w:szCs w:val="24"/>
        </w:rPr>
        <w:t xml:space="preserve">What to Measure</w:t>
      </w:r>
    </w:p>
    <w:p>
      <w:pPr>
        <w:pStyle w:val="ListParagraph"/>
        <w:numPr>
          <w:ilvl w:val="0"/>
          <w:numId w:val="2"/>
        </w:numPr>
        <w:spacing w:after="40" w:before="40"/>
      </w:pPr>
      <w:r>
        <w:rPr>
          <w:rFonts w:ascii="Arial" w:cs="Arial" w:eastAsia="Arial" w:hAnsi="Arial"/>
          <w:b/>
          <w:bCs/>
          <w:color w:val="1A1A2E"/>
          <w:sz w:val="22"/>
          <w:szCs w:val="22"/>
        </w:rPr>
        <w:t xml:space="preserve">Primary metrics: </w:t>
      </w:r>
      <w:r>
        <w:rPr>
          <w:rFonts w:ascii="Arial" w:cs="Arial" w:eastAsia="Arial" w:hAnsi="Arial"/>
          <w:color w:val="1A1A2E"/>
          <w:sz w:val="22"/>
          <w:szCs w:val="22"/>
        </w:rPr>
        <w:t xml:space="preserve">AUROC and Quadratic Weighted Kappa on the DR-related heads. MESSIDOR-2 provides only DR labels; non-DR heads cannot be validated on this dataset and must be explicitly noted as such.</w:t>
      </w:r>
    </w:p>
    <w:p>
      <w:pPr>
        <w:pStyle w:val="ListParagraph"/>
        <w:numPr>
          <w:ilvl w:val="0"/>
          <w:numId w:val="2"/>
        </w:numPr>
        <w:spacing w:after="40" w:before="40"/>
      </w:pPr>
      <w:r>
        <w:rPr>
          <w:rFonts w:ascii="Arial" w:cs="Arial" w:eastAsia="Arial" w:hAnsi="Arial"/>
          <w:b/>
          <w:bCs/>
          <w:color w:val="1A1A2E"/>
          <w:sz w:val="22"/>
          <w:szCs w:val="22"/>
        </w:rPr>
        <w:t xml:space="preserve">Domain shift estimate: </w:t>
      </w:r>
      <w:r>
        <w:rPr>
          <w:rFonts w:ascii="Arial" w:cs="Arial" w:eastAsia="Arial" w:hAnsi="Arial"/>
          <w:color w:val="1A1A2E"/>
          <w:sz w:val="22"/>
          <w:szCs w:val="22"/>
        </w:rPr>
        <w:t xml:space="preserve">The gap between held-out validation AUROC and MESSIDOR-2 AUROC on DR presence and severity. A gap under 5 percentage points is a strong generalization result.</w:t>
      </w:r>
    </w:p>
    <w:p>
      <w:pPr>
        <w:pStyle w:val="ListParagraph"/>
        <w:numPr>
          <w:ilvl w:val="0"/>
          <w:numId w:val="2"/>
        </w:numPr>
        <w:spacing w:after="40" w:before="40"/>
      </w:pPr>
      <w:r>
        <w:rPr>
          <w:rFonts w:ascii="Arial" w:cs="Arial" w:eastAsia="Arial" w:hAnsi="Arial"/>
          <w:b/>
          <w:bCs/>
          <w:color w:val="1A1A2E"/>
          <w:sz w:val="22"/>
          <w:szCs w:val="22"/>
        </w:rPr>
        <w:t xml:space="preserve">Expected Calibration Error (ECE): </w:t>
      </w:r>
      <w:r>
        <w:rPr>
          <w:rFonts w:ascii="Arial" w:cs="Arial" w:eastAsia="Arial" w:hAnsi="Arial"/>
          <w:color w:val="1A1A2E"/>
          <w:sz w:val="22"/>
          <w:szCs w:val="22"/>
        </w:rPr>
        <w:t xml:space="preserve">Measures whether the model's confidence scores match empirical accuracy on the external dataset. Poor calibration on MESSIDOR-2 indicates overconfidence under distribution shift. This is a clinically meaningful finding and rare for student projects to measure, making it a differentiator.</w:t>
      </w:r>
    </w:p>
    <w:p>
      <w:pPr>
        <w:pStyle w:val="Heading3"/>
        <w:spacing w:after="80" w:before="200"/>
      </w:pPr>
      <w:r>
        <w:rPr>
          <w:rFonts w:ascii="Arial" w:cs="Arial" w:eastAsia="Arial" w:hAnsi="Arial"/>
          <w:b/>
          <w:bCs/>
          <w:color w:val="1A1A2E"/>
          <w:sz w:val="24"/>
          <w:szCs w:val="24"/>
        </w:rPr>
        <w:t xml:space="preserve">How to Frame It</w:t>
      </w:r>
    </w:p>
    <w:p>
      <w:pPr>
        <w:spacing w:after="100" w:before="80"/>
      </w:pPr>
      <w:r>
        <w:rPr>
          <w:rFonts w:ascii="Arial" w:cs="Arial" w:eastAsia="Arial" w:hAnsi="Arial"/>
          <w:color w:val="1A1A2E"/>
          <w:sz w:val="22"/>
          <w:szCs w:val="22"/>
        </w:rPr>
        <w:t xml:space="preserve">In the project report, frame MESSIDOR-2 results as a domain generalization experiment. The model was trained exclusively on images from Indian and Chinese clinical settings and evaluated without modification on images from French hospital equipment and clinical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E8F4FD" w:val="clear"/>
            <w:tcMar>
              <w:top w:type="dxa" w:w="120"/>
              <w:left w:type="dxa" w:w="200"/>
              <w:bottom w:type="dxa" w:w="120"/>
              <w:right w:type="dxa" w:w="120"/>
            </w:tcMar>
          </w:tcPr>
          <w:p>
            <w:r>
              <w:rPr>
                <w:rFonts w:ascii="Arial" w:cs="Arial" w:eastAsia="Arial" w:hAnsi="Arial"/>
                <w:i/>
                <w:iCs/>
                <w:color w:val="1A1A2E"/>
                <w:sz w:val="22"/>
                <w:szCs w:val="22"/>
              </w:rPr>
              <w:t xml:space="preserve">In the masters application, the framing is: 'We designed and validated a multi-disease retinal screening system that generalises across acquisition devices, patient populations, and clinical protocols — which is the primary barrier to clinical deployment of medical AI.' This connects the technical result to a real open problem in the field.</w:t>
            </w:r>
          </w:p>
        </w:tc>
      </w:tr>
    </w:tbl>
    <w:p>
      <w:pPr>
        <w:spacing w:after="0" w:before="6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7. Ablation Experiments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960"/>
        <w:gridCol w:w="20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Ablation</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Changes</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Validates</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Backbone: RETFound vs ViT-Base ImageNet</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Backbone initialisation only; same heads, training, data</w:t>
            </w:r>
          </w:p>
        </w:tc>
        <w:tc>
          <w:tcPr>
            <w:tcW w:type="dxa" w:w="1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Value of retinal domain-specific pretraining</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MANDATORY</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2</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Multi-task vs 6 single-task models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Shared vs isolated backbone per disease</w:t>
            </w:r>
          </w:p>
        </w:tc>
        <w:tc>
          <w:tcPr>
            <w:tcW w:type="dxa" w:w="1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Whether shared representation helps low-data heads</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2E"/>
                <w:sz w:val="18"/>
                <w:szCs w:val="18"/>
              </w:rPr>
              <w:t xml:space="preserve">MANDATORY</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3</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Masked loss vs zero-fill missing labels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Loss computation only; architecture unchanged</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Correctness of missing-label handling strategy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8"/>
                <w:szCs w:val="18"/>
              </w:rPr>
              <w:t xml:space="preserve">INCLUDE — quick</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Two-stage vs end-to-end from scratch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Training schedule; same final epoch budget</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Training strategy choice and catastrophic forgetting risk</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OPTIONAL if time allows</w:t>
            </w:r>
          </w:p>
        </w:tc>
      </w:tr>
    </w:tbl>
    <w:p>
      <w:pPr>
        <w:spacing w:after="0" w:before="60"/>
      </w:pPr>
      <w:r>
        <w:t xml:space="preserve"/>
      </w:r>
    </w:p>
    <w:p>
      <w:pPr>
        <w:pStyle w:val="Heading2"/>
        <w:spacing w:after="120" w:before="300"/>
      </w:pPr>
      <w:r>
        <w:rPr>
          <w:rFonts w:ascii="Arial" w:cs="Arial" w:eastAsia="Arial" w:hAnsi="Arial"/>
          <w:b/>
          <w:bCs/>
          <w:color w:val="2E75B6"/>
          <w:sz w:val="28"/>
          <w:szCs w:val="28"/>
        </w:rPr>
        <w:t xml:space="preserve">7.1 Ablation 1 — Backbone: RETFound vs ViT-Base ImageNet</w:t>
      </w:r>
    </w:p>
    <w:p>
      <w:pPr>
        <w:spacing w:after="100" w:before="80"/>
      </w:pPr>
      <w:r>
        <w:rPr>
          <w:rFonts w:ascii="Arial" w:cs="Arial" w:eastAsia="Arial" w:hAnsi="Arial"/>
          <w:color w:val="1A1A2E"/>
          <w:sz w:val="22"/>
          <w:szCs w:val="22"/>
        </w:rPr>
        <w:t xml:space="preserve">Priority: Mandatory. Run first.</w:t>
      </w:r>
    </w:p>
    <w:p>
      <w:pPr>
        <w:spacing w:after="100" w:before="80"/>
      </w:pPr>
      <w:r>
        <w:rPr>
          <w:rFonts w:ascii="Arial" w:cs="Arial" w:eastAsia="Arial" w:hAnsi="Arial"/>
          <w:color w:val="1A1A2E"/>
          <w:sz w:val="22"/>
          <w:szCs w:val="22"/>
        </w:rPr>
        <w:t xml:space="preserve">Setup: Same architecture, same heads, same training procedure, same datasets. The only difference is the backbone initialization — RETFound pretrained weights versus ViT-Base weights pretrained on ImageNet.</w:t>
      </w:r>
    </w:p>
    <w:p>
      <w:pPr>
        <w:spacing w:after="100" w:before="80"/>
      </w:pPr>
      <w:r>
        <w:rPr>
          <w:rFonts w:ascii="Arial" w:cs="Arial" w:eastAsia="Arial" w:hAnsi="Arial"/>
          <w:color w:val="1A1A2E"/>
          <w:sz w:val="22"/>
          <w:szCs w:val="22"/>
        </w:rPr>
        <w:t xml:space="preserve">What it validates: The performance advantage of retinal domain-specific pretraining over general visual pretraining. This is the foundational architectural claim of the project. The expected result is that RETFound outperforms ViT-Base, particularly on low-data heads like AMD and Hypertensive Retinopathy where RETFound's domain-specific representations provide the most value when labels are scarce.</w:t>
      </w:r>
    </w:p>
    <w:p>
      <w:pPr>
        <w:spacing w:after="100" w:before="80"/>
      </w:pPr>
      <w:r>
        <w:rPr>
          <w:rFonts w:ascii="Arial" w:cs="Arial" w:eastAsia="Arial" w:hAnsi="Arial"/>
          <w:color w:val="1A1A2E"/>
          <w:sz w:val="22"/>
          <w:szCs w:val="22"/>
        </w:rPr>
        <w:t xml:space="preserve">Why it matters for the application: This ablation with numerical results transforms the claim 'we used RETFound' from a design choice into a validated decision. It shows the ability to design and execute controlled experiments.</w:t>
      </w:r>
    </w:p>
    <w:p>
      <w:pPr>
        <w:pStyle w:val="Heading2"/>
        <w:spacing w:after="120" w:before="300"/>
      </w:pPr>
      <w:r>
        <w:rPr>
          <w:rFonts w:ascii="Arial" w:cs="Arial" w:eastAsia="Arial" w:hAnsi="Arial"/>
          <w:b/>
          <w:bCs/>
          <w:color w:val="2E75B6"/>
          <w:sz w:val="28"/>
          <w:szCs w:val="28"/>
        </w:rPr>
        <w:t xml:space="preserve">7.2 Ablation 2 — Multi-Task vs Single-Task</w:t>
      </w:r>
    </w:p>
    <w:p>
      <w:pPr>
        <w:spacing w:after="100" w:before="80"/>
      </w:pPr>
      <w:r>
        <w:rPr>
          <w:rFonts w:ascii="Arial" w:cs="Arial" w:eastAsia="Arial" w:hAnsi="Arial"/>
          <w:color w:val="1A1A2E"/>
          <w:sz w:val="22"/>
          <w:szCs w:val="22"/>
        </w:rPr>
        <w:t xml:space="preserve">Priority: Mandatory. Run second.</w:t>
      </w:r>
    </w:p>
    <w:p>
      <w:pPr>
        <w:spacing w:after="100" w:before="80"/>
      </w:pPr>
      <w:r>
        <w:rPr>
          <w:rFonts w:ascii="Arial" w:cs="Arial" w:eastAsia="Arial" w:hAnsi="Arial"/>
          <w:color w:val="1A1A2E"/>
          <w:sz w:val="22"/>
          <w:szCs w:val="22"/>
        </w:rPr>
        <w:t xml:space="preserve">Setup: Train six separate models, each with a RETFound backbone and a single head for its respective disease. Compare per-head performance against the multi-task model.</w:t>
      </w:r>
    </w:p>
    <w:p>
      <w:pPr>
        <w:spacing w:after="100" w:before="80"/>
      </w:pPr>
      <w:r>
        <w:rPr>
          <w:rFonts w:ascii="Arial" w:cs="Arial" w:eastAsia="Arial" w:hAnsi="Arial"/>
          <w:color w:val="1A1A2E"/>
          <w:sz w:val="22"/>
          <w:szCs w:val="22"/>
        </w:rPr>
        <w:t xml:space="preserve">What it validates: Whether the shared representation improves performance on individual tasks. The expected result is that multi-task outperforms single-task on low-data heads (AMD, Hypertensive Retinopathy) where the shared backbone can transfer useful features learned from DR-rich data. If multi-task underperforms on any head, this is an interesting negative result worth discussing — it may indicate the diseases do not share useful features in the shared projection layer.</w:t>
      </w:r>
    </w:p>
    <w:p>
      <w:pPr>
        <w:pStyle w:val="Heading2"/>
        <w:spacing w:after="120" w:before="300"/>
      </w:pPr>
      <w:r>
        <w:rPr>
          <w:rFonts w:ascii="Arial" w:cs="Arial" w:eastAsia="Arial" w:hAnsi="Arial"/>
          <w:b/>
          <w:bCs/>
          <w:color w:val="2E75B6"/>
          <w:sz w:val="28"/>
          <w:szCs w:val="28"/>
        </w:rPr>
        <w:t xml:space="preserve">7.3 Ablation 3 — Masked Loss vs Zero-Fill</w:t>
      </w:r>
    </w:p>
    <w:p>
      <w:pPr>
        <w:spacing w:after="100" w:before="80"/>
      </w:pPr>
      <w:r>
        <w:rPr>
          <w:rFonts w:ascii="Arial" w:cs="Arial" w:eastAsia="Arial" w:hAnsi="Arial"/>
          <w:color w:val="1A1A2E"/>
          <w:sz w:val="22"/>
          <w:szCs w:val="22"/>
        </w:rPr>
        <w:t xml:space="preserve">Priority: Include — implementation is fast.</w:t>
      </w:r>
    </w:p>
    <w:p>
      <w:pPr>
        <w:spacing w:after="100" w:before="80"/>
      </w:pPr>
      <w:r>
        <w:rPr>
          <w:rFonts w:ascii="Arial" w:cs="Arial" w:eastAsia="Arial" w:hAnsi="Arial"/>
          <w:color w:val="1A1A2E"/>
          <w:sz w:val="22"/>
          <w:szCs w:val="22"/>
        </w:rPr>
        <w:t xml:space="preserve">Setup: Retrain the full multi-task model with missing labels zero-filled (treating unlabeled conditions as negative) instead of masked. Compare per-head performance.</w:t>
      </w:r>
    </w:p>
    <w:p>
      <w:pPr>
        <w:spacing w:after="100" w:before="80"/>
      </w:pPr>
      <w:r>
        <w:rPr>
          <w:rFonts w:ascii="Arial" w:cs="Arial" w:eastAsia="Arial" w:hAnsi="Arial"/>
          <w:color w:val="1A1A2E"/>
          <w:sz w:val="22"/>
          <w:szCs w:val="22"/>
        </w:rPr>
        <w:t xml:space="preserve">What it validates: The correctness of the masked loss implementation. The expected result is that masked loss outperforms zero-fill, particularly for APTOS images contributing to non-DR heads. Zero-filling falsely trains the model that APTOS-grade-0 patients have no glaucoma or AMD, which is clinically incorrect.</w:t>
      </w:r>
    </w:p>
    <w:p>
      <w:pPr>
        <w:pStyle w:val="Heading2"/>
        <w:spacing w:after="120" w:before="300"/>
      </w:pPr>
      <w:r>
        <w:rPr>
          <w:rFonts w:ascii="Arial" w:cs="Arial" w:eastAsia="Arial" w:hAnsi="Arial"/>
          <w:b/>
          <w:bCs/>
          <w:color w:val="2E75B6"/>
          <w:sz w:val="28"/>
          <w:szCs w:val="28"/>
        </w:rPr>
        <w:t xml:space="preserve">7.4 Ablation 4 — Two-Stage vs End-to-End from Scratch</w:t>
      </w:r>
    </w:p>
    <w:p>
      <w:pPr>
        <w:spacing w:after="100" w:before="80"/>
      </w:pPr>
      <w:r>
        <w:rPr>
          <w:rFonts w:ascii="Arial" w:cs="Arial" w:eastAsia="Arial" w:hAnsi="Arial"/>
          <w:color w:val="1A1A2E"/>
          <w:sz w:val="22"/>
          <w:szCs w:val="22"/>
        </w:rPr>
        <w:t xml:space="preserve">Priority: Optional. Run only if time permits after Ablations 1–3.</w:t>
      </w:r>
    </w:p>
    <w:p>
      <w:pPr>
        <w:spacing w:after="100" w:before="80"/>
      </w:pPr>
      <w:r>
        <w:rPr>
          <w:rFonts w:ascii="Arial" w:cs="Arial" w:eastAsia="Arial" w:hAnsi="Arial"/>
          <w:color w:val="1A1A2E"/>
          <w:sz w:val="22"/>
          <w:szCs w:val="22"/>
        </w:rPr>
        <w:t xml:space="preserve">Setup: Train end-to-end from the start using the same total epoch budget as Stages 1 and 2 combined. Compare final performance and training stability.</w:t>
      </w:r>
    </w:p>
    <w:p>
      <w:pPr>
        <w:spacing w:after="100" w:before="80"/>
      </w:pPr>
      <w:r>
        <w:rPr>
          <w:rFonts w:ascii="Arial" w:cs="Arial" w:eastAsia="Arial" w:hAnsi="Arial"/>
          <w:color w:val="1A1A2E"/>
          <w:sz w:val="22"/>
          <w:szCs w:val="22"/>
        </w:rPr>
        <w:t xml:space="preserve">What it validates: The two-stage training strategy. The expected result is that two-stage training produces better final performance and more stable training curves. If performance is similar, the two-stage strategy is still justified by reduced catastrophic forgetting risk.</w:t>
      </w:r>
    </w:p>
    <w:p>
      <w:pPr>
        <w:pStyle w:val="Heading2"/>
        <w:spacing w:after="120" w:before="300"/>
      </w:pPr>
      <w:r>
        <w:rPr>
          <w:rFonts w:ascii="Arial" w:cs="Arial" w:eastAsia="Arial" w:hAnsi="Arial"/>
          <w:b/>
          <w:bCs/>
          <w:color w:val="2E75B6"/>
          <w:sz w:val="28"/>
          <w:szCs w:val="28"/>
        </w:rPr>
        <w:t xml:space="preserve">7.5 Ablation Execution Order and Timeline Risk</w:t>
      </w:r>
    </w:p>
    <w:p>
      <w:pPr>
        <w:spacing w:after="100" w:before="80"/>
      </w:pPr>
      <w:r>
        <w:rPr>
          <w:rFonts w:ascii="Arial" w:cs="Arial" w:eastAsia="Arial" w:hAnsi="Arial"/>
          <w:color w:val="1A1A2E"/>
          <w:sz w:val="22"/>
          <w:szCs w:val="22"/>
        </w:rPr>
        <w:t xml:space="preserve">Do not begin ablations until the full pipeline is running end-to-end and producing sensible baseline results. Running ablations on a broken pipeline wastes GPU time and produces uninterpretable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000" w:sz="4"/>
              <w:left w:val="thick" w:color="8B4000" w:sz="16"/>
              <w:bottom w:val="single" w:color="8B4000" w:sz="4"/>
              <w:right w:val="single" w:color="8B4000" w:sz="4"/>
            </w:tcBorders>
            <w:shd w:fill="FFF3E0" w:val="clear"/>
            <w:tcMar>
              <w:top w:type="dxa" w:w="120"/>
              <w:left w:type="dxa" w:w="200"/>
              <w:bottom w:type="dxa" w:w="120"/>
              <w:right w:type="dxa" w:w="120"/>
            </w:tcMar>
          </w:tcPr>
          <w:p>
            <w:r>
              <w:rPr>
                <w:rFonts w:ascii="Arial" w:cs="Arial" w:eastAsia="Arial" w:hAnsi="Arial"/>
                <w:b/>
                <w:bCs/>
                <w:color w:val="8B4000"/>
                <w:sz w:val="20"/>
                <w:szCs w:val="20"/>
              </w:rPr>
              <w:t xml:space="preserve">Timeline risk</w:t>
            </w:r>
          </w:p>
          <w:p>
            <w:pPr>
              <w:spacing w:before="40"/>
            </w:pPr>
            <w:r>
              <w:rPr>
                <w:rFonts w:ascii="Arial" w:cs="Arial" w:eastAsia="Arial" w:hAnsi="Arial"/>
                <w:color w:val="1A1A2E"/>
                <w:sz w:val="22"/>
                <w:szCs w:val="22"/>
              </w:rPr>
              <w:t xml:space="preserve">Ablations 1 and 2 each require a full training run. Budget GPU time explicitly in Weeks 5 and 6. If compute time is constrained, Ablation 2 (six single-task models) can be parallelised by running multiple training jobs. Plan accordingly.</w:t>
            </w:r>
          </w:p>
        </w:tc>
      </w:tr>
    </w:tbl>
    <w:p>
      <w:pPr>
        <w:spacing w:after="0" w:before="6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8. Ordered Implementation 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160"/>
        <w:gridCol w:w="3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 / Risk Flag</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Download all four datasets (RFMiD, ODIR-5K, APTOS, MESSIDOR-2)</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Start immediately — MESSIDOR-2 and ODIR require registration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Audit label formats for each dataset; build unified label mapping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Most critical design-to-code translation step</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Compute positive/negative counts per head across combined dataset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Sets pos_weight values for all binary heads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Implement patient-level stratified split with multilabel stratification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Risk: naive random split causes validation leakage in ODIR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5</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1–2</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Build preprocessing pipeline: CLAHE → circular mask → green channel → resize → normalize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Must be identical for train, val, and MESSIDOR-2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Build unified dataset loader with masked loss support per image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Core engineering challenge; validate with unit tests per head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7</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2</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Implement CORAL ordinal regression head and loss for DR severity</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Reference Cao et al. 2020 CORAL paper for implementation 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Implement augmentation stack: hflip, rotation±30°, colour jitter, blur, centre-biased crop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Never apply to val/test sets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9</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3</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Load RETFound pretrained weights; build shared projection layer + 6 heads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Verify weight loading before any training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Stage 1 training: freeze backbone, train heads only (15 epochs max, LR 1e-3)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Early stop if val loss plateaus at epoch 10</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11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3–4</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Stage 2 training: unfreeze all, differential LR (backbone 1e-5, heads 1e-4), 3-epoch warmup</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Gradient clipping max_norm=1.0; watch for loss spike on unfreeze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Validate training: per-head AUROC, QWK on DR severity, loss curves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Check for overfitting — training vs val gap</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13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5</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Ablation 1: train ViT-Base ImageNet baseline with identical setup</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Longest ablation; budget full training run 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Ablation 2: train 6 independent single-task models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 separate training runs; can parallelise if GPU available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15</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5</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Ablation 3 (masked loss vs zero-fill): retrain with zero-fill baseline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Fast — only loss function changes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External validation on MESSIDOR-2: run inference, compute AUROC, QWK, ECE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Never tune on MESSIDOR-2; single blind evaluation run</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17</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6</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Implement attention rollout and gradient-weighted attention maps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Generate on 20–30 representative test images; verify clinical alignment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Build structured prediction object output and RAG handoff interface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6-field JSON object; confirm format with RAG teammate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19</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7</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RAG integration: connect prediction object to retrieval and report generation</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8"/>
                <w:szCs w:val="18"/>
              </w:rPr>
              <w:t xml:space="preserve">Fallback: templated report if full RAG behind schedule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7–8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Demo packaging, report writing, results tables, figure generation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Lead with mean AUROC headline; include per-head table and ablation table</w:t>
            </w:r>
          </w:p>
        </w:tc>
      </w:tr>
    </w:tbl>
    <w:p>
      <w:pPr>
        <w:spacing w:after="0" w:before="60"/>
      </w:pPr>
      <w:r>
        <w:t xml:space="preserve"/>
      </w:r>
    </w:p>
    <w:p>
      <w:pPr>
        <w:pStyle w:val="Heading2"/>
        <w:spacing w:after="120" w:before="300"/>
      </w:pPr>
      <w:r>
        <w:rPr>
          <w:rFonts w:ascii="Arial" w:cs="Arial" w:eastAsia="Arial" w:hAnsi="Arial"/>
          <w:b/>
          <w:bCs/>
          <w:color w:val="2E75B6"/>
          <w:sz w:val="28"/>
          <w:szCs w:val="28"/>
        </w:rPr>
        <w:t xml:space="preserve">8.1 Critical Path and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000" w:sz="4"/>
              <w:left w:val="thick" w:color="8B4000" w:sz="16"/>
              <w:bottom w:val="single" w:color="8B4000" w:sz="4"/>
              <w:right w:val="single" w:color="8B4000" w:sz="4"/>
            </w:tcBorders>
            <w:shd w:fill="FFF3E0" w:val="clear"/>
            <w:tcMar>
              <w:top w:type="dxa" w:w="120"/>
              <w:left w:type="dxa" w:w="200"/>
              <w:bottom w:type="dxa" w:w="120"/>
              <w:right w:type="dxa" w:w="120"/>
            </w:tcMar>
          </w:tcPr>
          <w:p>
            <w:r>
              <w:rPr>
                <w:rFonts w:ascii="Arial" w:cs="Arial" w:eastAsia="Arial" w:hAnsi="Arial"/>
                <w:b/>
                <w:bCs/>
                <w:color w:val="8B4000"/>
                <w:sz w:val="20"/>
                <w:szCs w:val="20"/>
              </w:rPr>
              <w:t xml:space="preserve">Highest risk — Data preprocessing and harmonization (Steps 1–6)</w:t>
            </w:r>
          </w:p>
          <w:p>
            <w:pPr>
              <w:spacing w:before="40"/>
            </w:pPr>
            <w:r>
              <w:rPr>
                <w:rFonts w:ascii="Arial" w:cs="Arial" w:eastAsia="Arial" w:hAnsi="Arial"/>
                <w:color w:val="1A1A2E"/>
                <w:sz w:val="22"/>
                <w:szCs w:val="22"/>
              </w:rPr>
              <w:t xml:space="preserve">This phase has the most unknowns and everything downstream depends on it being correct. If it slips to Week 3, ablation experiments compress and research-grade quality is compromised. Start Week 1 with data downloads and immediately begin label audits.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000" w:sz="4"/>
              <w:left w:val="thick" w:color="8B4000" w:sz="16"/>
              <w:bottom w:val="single" w:color="8B4000" w:sz="4"/>
              <w:right w:val="single" w:color="8B4000" w:sz="4"/>
            </w:tcBorders>
            <w:shd w:fill="FFF3E0" w:val="clear"/>
            <w:tcMar>
              <w:top w:type="dxa" w:w="120"/>
              <w:left w:type="dxa" w:w="200"/>
              <w:bottom w:type="dxa" w:w="120"/>
              <w:right w:type="dxa" w:w="120"/>
            </w:tcMar>
          </w:tcPr>
          <w:p>
            <w:r>
              <w:rPr>
                <w:rFonts w:ascii="Arial" w:cs="Arial" w:eastAsia="Arial" w:hAnsi="Arial"/>
                <w:b/>
                <w:bCs/>
                <w:color w:val="8B4000"/>
                <w:sz w:val="20"/>
                <w:szCs w:val="20"/>
              </w:rPr>
              <w:t xml:space="preserve">Second risk — Multilabel stratified splitting (Step 4)</w:t>
            </w:r>
          </w:p>
          <w:p>
            <w:pPr>
              <w:spacing w:before="40"/>
            </w:pPr>
            <w:r>
              <w:rPr>
                <w:rFonts w:ascii="Arial" w:cs="Arial" w:eastAsia="Arial" w:hAnsi="Arial"/>
                <w:color w:val="1A1A2E"/>
                <w:sz w:val="22"/>
                <w:szCs w:val="22"/>
              </w:rPr>
              <w:t xml:space="preserve">A naive random split causes ODIR patient data leakage and produces inflated validation metrics that are then discovered too late. Implement and verify iterative stratification in Week 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b/>
                <w:bCs/>
                <w:color w:val="2E75B6"/>
                <w:sz w:val="20"/>
                <w:szCs w:val="20"/>
              </w:rPr>
              <w:t xml:space="preserve">Third risk — Ablation GPU time (Steps 13–14)</w:t>
            </w:r>
          </w:p>
          <w:p>
            <w:pPr>
              <w:spacing w:before="40"/>
            </w:pPr>
            <w:r>
              <w:rPr>
                <w:rFonts w:ascii="Arial" w:cs="Arial" w:eastAsia="Arial" w:hAnsi="Arial"/>
                <w:color w:val="1A1A2E"/>
                <w:sz w:val="22"/>
                <w:szCs w:val="22"/>
              </w:rPr>
              <w:t xml:space="preserve">Two mandatory ablations plus optional ones require multiple full training runs. Budget GPU time explicitly in advance. Do not begin ablations without a time estimate for each run.</w:t>
            </w:r>
          </w:p>
        </w:tc>
      </w:tr>
    </w:tbl>
    <w:p>
      <w:pPr>
        <w:spacing w:after="0" w:before="60"/>
      </w:pPr>
      <w:r>
        <w:t xml:space="preserve"/>
      </w:r>
    </w:p>
    <w:p>
      <w:pPr>
        <w:pStyle w:val="Heading2"/>
        <w:spacing w:after="120" w:before="300"/>
      </w:pPr>
      <w:r>
        <w:rPr>
          <w:rFonts w:ascii="Arial" w:cs="Arial" w:eastAsia="Arial" w:hAnsi="Arial"/>
          <w:b/>
          <w:bCs/>
          <w:color w:val="2E75B6"/>
          <w:sz w:val="28"/>
          <w:szCs w:val="28"/>
        </w:rPr>
        <w:t xml:space="preserve">8.2 Team Division Guidance</w:t>
      </w:r>
    </w:p>
    <w:p>
      <w:pPr>
        <w:spacing w:after="100" w:before="80"/>
      </w:pPr>
      <w:r>
        <w:rPr>
          <w:rFonts w:ascii="Arial" w:cs="Arial" w:eastAsia="Arial" w:hAnsi="Arial"/>
          <w:color w:val="1A1A2E"/>
          <w:sz w:val="22"/>
          <w:szCs w:val="22"/>
        </w:rPr>
        <w:t xml:space="preserve">With two people on the project, a natural division exists between the vision model and the RAG system. One person focuses on Sections 3, 5, 6, and 7 — the deep learning pipeline. The other handles the RAG knowledge base construction and report generation, which is deferred until after ViT training completes. Both converge at the handoff interface defined in Section 4. Establish and test the structured prediction object format in Week 2 so both workstreams have a stable interface contract.</w:t>
      </w:r>
    </w:p>
    <w:p>
      <w:pPr>
        <w:pStyle w:val="Heading2"/>
        <w:spacing w:after="120" w:before="300"/>
      </w:pPr>
      <w:r>
        <w:rPr>
          <w:rFonts w:ascii="Arial" w:cs="Arial" w:eastAsia="Arial" w:hAnsi="Arial"/>
          <w:b/>
          <w:bCs/>
          <w:color w:val="2E75B6"/>
          <w:sz w:val="28"/>
          <w:szCs w:val="28"/>
        </w:rPr>
        <w:t xml:space="preserve">8.3 Presenting the Project</w:t>
      </w:r>
    </w:p>
    <w:p>
      <w:pPr>
        <w:spacing w:after="100" w:before="80"/>
      </w:pPr>
      <w:r>
        <w:rPr>
          <w:rFonts w:ascii="Arial" w:cs="Arial" w:eastAsia="Arial" w:hAnsi="Arial"/>
          <w:color w:val="1A1A2E"/>
          <w:sz w:val="22"/>
          <w:szCs w:val="22"/>
        </w:rPr>
        <w:t xml:space="preserve">Lead with the system framing: a multi-disease retinal screening system, not a classifier. Open with the clinical motivation (Section 1.1) before any technical details. Lead results with the headline mean AUROC across five binary detection heads. Follow with the per-head results table. Follow with MESSIDOR-2 generalization results. Conclude with ablation results and explainability visualizations.</w:t>
      </w:r>
    </w:p>
    <w:p>
      <w:pPr>
        <w:spacing w:after="100" w:before="80"/>
      </w:pPr>
      <w:r>
        <w:rPr>
          <w:rFonts w:ascii="Arial" w:cs="Arial" w:eastAsia="Arial" w:hAnsi="Arial"/>
          <w:color w:val="1A1A2E"/>
          <w:sz w:val="22"/>
          <w:szCs w:val="22"/>
        </w:rPr>
        <w:t xml:space="preserve">For the masters application: emphasize the domain generalization experiment, the methodological decisions (CORAL ordinal regression, masked loss, patient-level splitting, calibration measurement), and the end-to-end system framing connecting vision model to clinical report. These are the elements that distinguish a research-grade capstone from a course project.</w:t>
      </w:r>
    </w:p>
    <w:p>
      <w:pPr>
        <w:spacing w:after="0" w:before="120"/>
      </w:pPr>
      <w:r>
        <w:t xml:space="preserve"/>
      </w:r>
    </w:p>
    <w:p>
      <w:pPr>
        <w:pBdr>
          <w:top w:val="single" w:color="2E75B6" w:sz="4" w:space="4"/>
        </w:pBdr>
        <w:spacing w:before="200"/>
        <w:jc w:val="center"/>
      </w:pPr>
      <w:r>
        <w:rPr>
          <w:rFonts w:ascii="Arial" w:cs="Arial" w:eastAsia="Arial" w:hAnsi="Arial"/>
          <w:i/>
          <w:iCs/>
          <w:color w:val="595959"/>
          <w:sz w:val="20"/>
          <w:szCs w:val="20"/>
        </w:rPr>
        <w:t xml:space="preserve">End of Project Reference Document</w:t>
      </w:r>
    </w:p>
    <w:p>
      <w:pPr>
        <w:jc w:val="center"/>
      </w:pPr>
      <w:r>
        <w:rPr>
          <w:rFonts w:ascii="Arial" w:cs="Arial" w:eastAsia="Arial" w:hAnsi="Arial"/>
          <w:i/>
          <w:iCs/>
          <w:color w:val="595959"/>
          <w:sz w:val="18"/>
          <w:szCs w:val="18"/>
        </w:rPr>
        <w:t xml:space="preserve">All design decisions recorded as of project planning completion. RAG internals, deployment, and report writing to be documented separately.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2026-03-29T19:49:02.070Z</dcterms:created>
  <dcterms:modified xsi:type="dcterms:W3CDTF">2026-03-29T19:49:02.072Z</dcterms:modified>
</cp:coreProperties>
</file>

<file path=docProps/custom.xml><?xml version="1.0" encoding="utf-8"?>
<Properties xmlns="http://schemas.openxmlformats.org/officeDocument/2006/custom-properties" xmlns:vt="http://schemas.openxmlformats.org/officeDocument/2006/docPropsVTypes"/>
</file>