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2762" w14:textId="358ACE7B" w:rsidR="00824D42" w:rsidRDefault="006564DE" w:rsidP="006564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564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# JPMORGAN CHASE &amp; CO. - CONSOLIDATED EQUITY RESEARCH REPORT</w:t>
      </w:r>
    </w:p>
    <w:p w14:paraId="49E3F47B" w14:textId="77777777" w:rsidR="00071081" w:rsidRPr="006564DE" w:rsidRDefault="00071081" w:rsidP="006564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4B2B6D6" w14:textId="0358CE4A" w:rsidR="00824D42" w:rsidRPr="00071081" w:rsidRDefault="00824D42" w:rsidP="000710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7108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Executive Summary:</w:t>
      </w:r>
    </w:p>
    <w:p w14:paraId="092D8D5F" w14:textId="77777777" w:rsidR="006F379E" w:rsidRDefault="00824D42" w:rsidP="006F379E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6564D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JPMorgan Chase &amp; Co. (JPM) delivered a robust Q3 2023 performance with a net income of $13.2 billion ($4.33 per share), showcasing an impressive 18% Return on Equity (ROE) and 22% Return on Tangible Common Equity (ROTCE). The diversified business model spanning Consumer &amp; Community Banking (CCB), Corporate &amp; Investment Bank (CIB), Commercial Banking (CB), and Asset &amp; Wealth Management (AWM) has been instrumental in this success. While resilience is evident across segments, there are lingering concerns about potential economic challenges and geopolitical uncertainties.</w:t>
      </w:r>
    </w:p>
    <w:p w14:paraId="0FFAF9FF" w14:textId="10041F32" w:rsidR="00B71309" w:rsidRPr="006F379E" w:rsidRDefault="0047158D" w:rsidP="006F379E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5FA65" wp14:editId="6DD5E704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295650" cy="1933575"/>
            <wp:effectExtent l="0" t="0" r="0" b="0"/>
            <wp:wrapNone/>
            <wp:docPr id="16709453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E0DA5B-7C34-1E17-3E7A-E8A97C077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7E319" w14:textId="5AA80DC6" w:rsidR="00824D42" w:rsidRPr="00AF3227" w:rsidRDefault="00824D42" w:rsidP="00824D4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AF3227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Business Segments:</w:t>
      </w:r>
      <w:r w:rsidR="00B71309" w:rsidRPr="00B71309">
        <w:rPr>
          <w:noProof/>
        </w:rPr>
        <w:t xml:space="preserve"> </w:t>
      </w:r>
    </w:p>
    <w:p w14:paraId="0950104D" w14:textId="77777777" w:rsidR="00824D42" w:rsidRPr="00103BFA" w:rsidRDefault="00824D42" w:rsidP="00103B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1. Consumer &amp; Community Banking (CCB):</w:t>
      </w:r>
    </w:p>
    <w:p w14:paraId="5F8E01C2" w14:textId="68173C10" w:rsidR="00824D42" w:rsidRPr="00103BFA" w:rsidRDefault="00824D42" w:rsidP="009E1D50">
      <w:pPr>
        <w:pStyle w:val="ListParagraph"/>
        <w:numPr>
          <w:ilvl w:val="0"/>
          <w:numId w:val="15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ROE: 41%</w:t>
      </w:r>
    </w:p>
    <w:p w14:paraId="0C5820DD" w14:textId="77777777" w:rsidR="000A08F9" w:rsidRDefault="00824D42" w:rsidP="009E1D50">
      <w:pPr>
        <w:pStyle w:val="ListParagraph"/>
        <w:numPr>
          <w:ilvl w:val="0"/>
          <w:numId w:val="15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Growth in deposits, investments, loans, </w:t>
      </w:r>
    </w:p>
    <w:p w14:paraId="65E65A9F" w14:textId="62EF2B2C" w:rsidR="00824D42" w:rsidRDefault="00824D42" w:rsidP="000A08F9">
      <w:pPr>
        <w:pStyle w:val="ListParagraph"/>
        <w:spacing w:after="0" w:line="240" w:lineRule="auto"/>
        <w:ind w:left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and mobile customers.</w:t>
      </w:r>
    </w:p>
    <w:p w14:paraId="7EB0280D" w14:textId="77777777" w:rsidR="00103BFA" w:rsidRPr="00103BFA" w:rsidRDefault="00103BFA" w:rsidP="009D342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12F7C39" w14:textId="77777777" w:rsidR="00824D42" w:rsidRPr="00103BFA" w:rsidRDefault="00824D42" w:rsidP="00103B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2. Corporate &amp; Investment Bank (CIB):</w:t>
      </w:r>
    </w:p>
    <w:p w14:paraId="25BD7737" w14:textId="0642C937" w:rsidR="00824D42" w:rsidRPr="004C6A90" w:rsidRDefault="00824D42" w:rsidP="009E1D50">
      <w:pPr>
        <w:pStyle w:val="ListParagraph"/>
        <w:numPr>
          <w:ilvl w:val="0"/>
          <w:numId w:val="21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ROE: 11%</w:t>
      </w:r>
    </w:p>
    <w:p w14:paraId="70935105" w14:textId="66BAB0E1" w:rsidR="00824D42" w:rsidRPr="004C6A90" w:rsidRDefault="00824D42" w:rsidP="009E1D50">
      <w:pPr>
        <w:pStyle w:val="ListParagraph"/>
        <w:numPr>
          <w:ilvl w:val="0"/>
          <w:numId w:val="21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#1 in Global Investment Banking fees.</w:t>
      </w:r>
    </w:p>
    <w:p w14:paraId="5E981710" w14:textId="56B28640" w:rsidR="00824D42" w:rsidRPr="004C6A90" w:rsidRDefault="00824D42" w:rsidP="009E1D50">
      <w:pPr>
        <w:pStyle w:val="ListParagraph"/>
        <w:numPr>
          <w:ilvl w:val="0"/>
          <w:numId w:val="21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Total Markets revenue: $6.6 billion.</w:t>
      </w:r>
    </w:p>
    <w:p w14:paraId="04DD6DCC" w14:textId="77777777" w:rsidR="00103BFA" w:rsidRPr="00103BFA" w:rsidRDefault="00103BFA" w:rsidP="00103B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BB9B089" w14:textId="77777777" w:rsidR="00824D42" w:rsidRPr="00103BFA" w:rsidRDefault="00824D42" w:rsidP="00103B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3. Commercial Banking (CB):</w:t>
      </w:r>
    </w:p>
    <w:p w14:paraId="6DB62493" w14:textId="0A3A5072" w:rsidR="00824D42" w:rsidRPr="00103BFA" w:rsidRDefault="00824D42" w:rsidP="009E1D50">
      <w:pPr>
        <w:pStyle w:val="ListParagraph"/>
        <w:numPr>
          <w:ilvl w:val="0"/>
          <w:numId w:val="17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ROE: 25%</w:t>
      </w:r>
    </w:p>
    <w:p w14:paraId="7FA60D11" w14:textId="5C5653F1" w:rsidR="00824D42" w:rsidRPr="00103BFA" w:rsidRDefault="00824D42" w:rsidP="009E1D50">
      <w:pPr>
        <w:pStyle w:val="ListParagraph"/>
        <w:numPr>
          <w:ilvl w:val="0"/>
          <w:numId w:val="17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03BFA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Gross Investment Banking and Markets revenue: $821 million.</w:t>
      </w:r>
    </w:p>
    <w:p w14:paraId="0510CACC" w14:textId="08169DB3" w:rsidR="00103BFA" w:rsidRPr="00103BFA" w:rsidRDefault="006E2AF0" w:rsidP="00103BF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E3F9AB" wp14:editId="28E7B7F2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3343275" cy="1828800"/>
            <wp:effectExtent l="0" t="0" r="0" b="0"/>
            <wp:wrapNone/>
            <wp:docPr id="2725869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1803CC-3D22-9155-7600-9F132A040F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03426" w14:textId="58EC9B82" w:rsidR="00824D42" w:rsidRPr="004C6A90" w:rsidRDefault="00824D42" w:rsidP="004C6A9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4. Asset &amp; Wealth Management (AWM):</w:t>
      </w:r>
      <w:r w:rsidR="006E2AF0" w:rsidRPr="006E2AF0">
        <w:rPr>
          <w:noProof/>
        </w:rPr>
        <w:t xml:space="preserve"> </w:t>
      </w:r>
    </w:p>
    <w:p w14:paraId="30B95D07" w14:textId="476F39BE" w:rsidR="004779C9" w:rsidRPr="004C6A90" w:rsidRDefault="00824D42" w:rsidP="009E1D50">
      <w:pPr>
        <w:pStyle w:val="ListParagraph"/>
        <w:numPr>
          <w:ilvl w:val="0"/>
          <w:numId w:val="18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ROE: 32%</w:t>
      </w:r>
    </w:p>
    <w:p w14:paraId="609BB9BF" w14:textId="3802B73A" w:rsidR="00824D42" w:rsidRDefault="00824D42" w:rsidP="009E1D50">
      <w:pPr>
        <w:pStyle w:val="ListParagraph"/>
        <w:numPr>
          <w:ilvl w:val="0"/>
          <w:numId w:val="18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C6A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Assets under Management (AUM) growth to $3.2 trillion.</w:t>
      </w:r>
    </w:p>
    <w:p w14:paraId="2C756015" w14:textId="1B9C5E0C" w:rsidR="00161D4F" w:rsidRPr="004C6A90" w:rsidRDefault="00161D4F" w:rsidP="00AF322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131CB39" w14:textId="5E51122B" w:rsidR="00824D42" w:rsidRPr="00AF3227" w:rsidRDefault="00824D42" w:rsidP="00161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Earnings Per Share Data (Q3 2023):</w:t>
      </w:r>
    </w:p>
    <w:p w14:paraId="7E4E26B1" w14:textId="0BDB348F" w:rsidR="00824D42" w:rsidRPr="00161D4F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Basic EPS: $4.33 (9% </w:t>
      </w:r>
      <w:proofErr w:type="spellStart"/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QoQ</w:t>
      </w:r>
      <w:proofErr w:type="spellEnd"/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decrease)</w:t>
      </w:r>
    </w:p>
    <w:p w14:paraId="0A6E3135" w14:textId="7E85BAF1" w:rsidR="00824D42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Diluted EPS: $4.33 (9% </w:t>
      </w:r>
      <w:proofErr w:type="spellStart"/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QoQ</w:t>
      </w:r>
      <w:proofErr w:type="spellEnd"/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decrease)</w:t>
      </w:r>
    </w:p>
    <w:p w14:paraId="7CA074FE" w14:textId="44EFEC71" w:rsidR="00161D4F" w:rsidRPr="00161D4F" w:rsidRDefault="00161D4F" w:rsidP="00161D4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06275DA" w14:textId="334D4A71" w:rsidR="00824D42" w:rsidRPr="00AF3227" w:rsidRDefault="00824D42" w:rsidP="00824D42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Market and Per Common Share Data (Q3 2023):</w:t>
      </w:r>
    </w:p>
    <w:p w14:paraId="1C4FFD7F" w14:textId="0CEED4AD" w:rsidR="00824D42" w:rsidRPr="00161D4F" w:rsidRDefault="00824D42" w:rsidP="004779C9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Market Cap: $419.25 billion (1% increase)</w:t>
      </w:r>
    </w:p>
    <w:p w14:paraId="43BCA7AF" w14:textId="3C940ADF" w:rsidR="00824D42" w:rsidRPr="00161D4F" w:rsidRDefault="00824D42" w:rsidP="004779C9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Book Value Per Share: $100.30 (15% increase)</w:t>
      </w:r>
      <w:r w:rsidR="006C0EC7" w:rsidRPr="006C0EC7">
        <w:rPr>
          <w:noProof/>
        </w:rPr>
        <w:t xml:space="preserve"> </w:t>
      </w:r>
    </w:p>
    <w:p w14:paraId="3779C768" w14:textId="67218494" w:rsidR="00824D42" w:rsidRPr="00161D4F" w:rsidRDefault="00824D42" w:rsidP="004779C9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Tangible Book Value Per Share (TBVPS): $82.04 (17% increase)</w:t>
      </w:r>
    </w:p>
    <w:p w14:paraId="1A16F2FC" w14:textId="41D2D928" w:rsidR="00824D42" w:rsidRPr="00161D4F" w:rsidRDefault="006E2AF0" w:rsidP="00824D42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23F12" wp14:editId="21189F53">
            <wp:simplePos x="0" y="0"/>
            <wp:positionH relativeFrom="column">
              <wp:posOffset>3467100</wp:posOffset>
            </wp:positionH>
            <wp:positionV relativeFrom="paragraph">
              <wp:posOffset>12065</wp:posOffset>
            </wp:positionV>
            <wp:extent cx="3295650" cy="1771650"/>
            <wp:effectExtent l="0" t="0" r="0" b="0"/>
            <wp:wrapNone/>
            <wp:docPr id="199491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0437D5-5F9D-36B0-267A-B0F8C9A09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42" w:rsidRPr="00161D4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Dividends Per Share: $1.05 (5% increase)</w:t>
      </w:r>
    </w:p>
    <w:p w14:paraId="7D745C00" w14:textId="2783E6DB" w:rsidR="00824D42" w:rsidRPr="00AF3227" w:rsidRDefault="00824D42" w:rsidP="008C77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Financial Ratios (Q3 2023):</w:t>
      </w:r>
    </w:p>
    <w:p w14:paraId="73FA5D83" w14:textId="7FE42B11" w:rsidR="00824D42" w:rsidRPr="00FA7FED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ROE: 18%</w:t>
      </w:r>
    </w:p>
    <w:p w14:paraId="66E271FC" w14:textId="09D6A1B7" w:rsidR="00824D42" w:rsidRPr="00FA7FED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ROTCE: 22%</w:t>
      </w:r>
    </w:p>
    <w:p w14:paraId="4551DAA3" w14:textId="6BD244F8" w:rsidR="00824D42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Return on Assets: 1.36%</w:t>
      </w:r>
    </w:p>
    <w:p w14:paraId="4B3C14BE" w14:textId="77777777" w:rsidR="008C77E8" w:rsidRPr="00FA7FED" w:rsidRDefault="008C77E8" w:rsidP="009E1D50">
      <w:pPr>
        <w:pStyle w:val="ListParagraph"/>
        <w:numPr>
          <w:ilvl w:val="0"/>
          <w:numId w:val="22"/>
        </w:numPr>
        <w:spacing w:after="0" w:line="240" w:lineRule="auto"/>
        <w:ind w:left="0" w:firstLine="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03D66EB" w14:textId="0A3C167C" w:rsidR="00824D42" w:rsidRPr="00AF3227" w:rsidRDefault="00824D42" w:rsidP="008C77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Capital Ratios (Q3 2023):</w:t>
      </w:r>
    </w:p>
    <w:p w14:paraId="7EA23F0D" w14:textId="5782AA90" w:rsidR="00824D42" w:rsidRPr="00FA7FED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CET1 Capital Ratio: 14.3%</w:t>
      </w:r>
    </w:p>
    <w:p w14:paraId="3159D554" w14:textId="2A7EE7D5" w:rsidR="00824D42" w:rsidRPr="00FA7FED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Tier 1 Capital Ratio: 15.9%</w:t>
      </w:r>
    </w:p>
    <w:p w14:paraId="32F00DB4" w14:textId="46826A23" w:rsidR="00824D42" w:rsidRDefault="00824D42" w:rsidP="009E1D50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A7FE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Total Capital Ratio: 17.8%</w:t>
      </w:r>
    </w:p>
    <w:p w14:paraId="050E3C7D" w14:textId="77777777" w:rsidR="00483923" w:rsidRPr="00FA7FED" w:rsidRDefault="00483923" w:rsidP="00483923">
      <w:pPr>
        <w:pStyle w:val="ListParagraph"/>
        <w:spacing w:after="0" w:line="240" w:lineRule="auto"/>
        <w:ind w:left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E4A797F" w14:textId="3E374BFE" w:rsidR="00824D42" w:rsidRPr="00AF3227" w:rsidRDefault="00824D42" w:rsidP="00824D4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AF3227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Management Comments:</w:t>
      </w:r>
    </w:p>
    <w:p w14:paraId="5E25CD88" w14:textId="5B545489" w:rsidR="00824D42" w:rsidRPr="00EC272E" w:rsidRDefault="00824D42" w:rsidP="00824D4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C272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Jamie </w:t>
      </w:r>
      <w:proofErr w:type="spellStart"/>
      <w:r w:rsidRPr="00EC272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Dimon</w:t>
      </w:r>
      <w:proofErr w:type="spellEnd"/>
      <w:r w:rsidRPr="00EC272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acknowledges solid results and cautions about risks like inflation and geopolitical events.</w:t>
      </w:r>
    </w:p>
    <w:p w14:paraId="6B4ABE0F" w14:textId="6A6B2AE9" w:rsidR="00824D42" w:rsidRPr="00AF3227" w:rsidRDefault="00824D42" w:rsidP="00824D42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Outlook and Recommendation:</w:t>
      </w:r>
    </w:p>
    <w:p w14:paraId="135936EB" w14:textId="343803E3" w:rsidR="005A0E16" w:rsidRPr="00EC272E" w:rsidRDefault="00824D42" w:rsidP="0042499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C272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JPM is well-positioned but faces economic uncertainties. A cautious "Hold" recommendation is suggested, pending further analysis.</w:t>
      </w:r>
    </w:p>
    <w:p w14:paraId="6C9C2816" w14:textId="2C5A0C1B" w:rsidR="00424993" w:rsidRPr="00AF3227" w:rsidRDefault="005A0E16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Capital Distribution</w:t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BAB480" w14:textId="291B1A38" w:rsidR="00424993" w:rsidRPr="00424993" w:rsidRDefault="00424993" w:rsidP="00483923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Common dividend: $3.1 billion or $1.05 per share.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92689B3" w14:textId="2412E145" w:rsidR="00483923" w:rsidRDefault="00424993" w:rsidP="00483923">
      <w:pPr>
        <w:pStyle w:val="ListParagraph"/>
        <w:numPr>
          <w:ilvl w:val="0"/>
          <w:numId w:val="22"/>
        </w:numPr>
        <w:spacing w:after="0" w:line="240" w:lineRule="auto"/>
        <w:ind w:left="179" w:hanging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Common stock net repurchases: $2.0 billion.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231A61" w14:textId="69E10916" w:rsidR="00424993" w:rsidRPr="00424993" w:rsidRDefault="00424993" w:rsidP="00483923">
      <w:pPr>
        <w:pStyle w:val="ListParagraph"/>
        <w:spacing w:after="0" w:line="240" w:lineRule="auto"/>
        <w:ind w:left="179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B7CC70" w14:textId="158F2B06" w:rsidR="00424993" w:rsidRPr="00AF3227" w:rsidRDefault="00424993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Fortress Principles</w:t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62ADFCB" w14:textId="5277B334" w:rsidR="00424993" w:rsidRPr="00424993" w:rsidRDefault="00424993" w:rsidP="0042499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- Book value per share: $100.30 (up 15%); Tangible book value per share: $82.04 (up 17%)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76CA63" w14:textId="27FCF17F" w:rsidR="00424993" w:rsidRPr="00AF3227" w:rsidRDefault="000A08F9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40D050" wp14:editId="588B65D6">
            <wp:simplePos x="0" y="0"/>
            <wp:positionH relativeFrom="margin">
              <wp:posOffset>3476625</wp:posOffset>
            </wp:positionH>
            <wp:positionV relativeFrom="paragraph">
              <wp:posOffset>19050</wp:posOffset>
            </wp:positionV>
            <wp:extent cx="3352800" cy="1914525"/>
            <wp:effectExtent l="0" t="0" r="0" b="0"/>
            <wp:wrapNone/>
            <wp:docPr id="19259721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7B58D8-378D-7BF5-3A63-AD0024450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Operating Leverage</w:t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="00424993"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EC68BC" w14:textId="77777777" w:rsidR="000A08F9" w:rsidRDefault="00424993" w:rsidP="000A08F9">
      <w:p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- 3Q23 expense: $21.8 billion; reported overhead ratio of 55%;</w:t>
      </w:r>
    </w:p>
    <w:p w14:paraId="7C094F5C" w14:textId="0030D2BB" w:rsidR="000A08F9" w:rsidRDefault="00424993" w:rsidP="000A08F9">
      <w:p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managed overhead ratio of 53%.</w:t>
      </w:r>
    </w:p>
    <w:p w14:paraId="39F8B455" w14:textId="2F7A25CF" w:rsidR="00424993" w:rsidRPr="00424993" w:rsidRDefault="00424993" w:rsidP="000A08F9">
      <w:p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ADFB60" w14:textId="76FEE013" w:rsidR="00424993" w:rsidRPr="00AF3227" w:rsidRDefault="00424993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Support to Consumers, Businesses &amp; Communities</w:t>
      </w:r>
      <w:r w:rsid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969767" w14:textId="370C207C" w:rsidR="00424993" w:rsidRPr="00424993" w:rsidRDefault="00424993" w:rsidP="0042499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- $1.7 trillion of credit and capital raised YTD.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7CB52B" w14:textId="2D0E969C" w:rsidR="00424993" w:rsidRPr="00AF3227" w:rsidRDefault="00424993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Comparison with Previous Quarters</w:t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3ED7F0" w14:textId="3D98C220" w:rsidR="00424993" w:rsidRPr="00424993" w:rsidRDefault="00424993" w:rsidP="00424993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Net revenue reported at $39.9 billion, down 3% </w:t>
      </w:r>
      <w:proofErr w:type="spellStart"/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QoQ</w:t>
      </w:r>
      <w:proofErr w:type="spellEnd"/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5AC27E2B" w14:textId="7CFEDAF5" w:rsidR="00424993" w:rsidRPr="00424993" w:rsidRDefault="00424993" w:rsidP="00424993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Net income down 9% </w:t>
      </w:r>
      <w:proofErr w:type="spellStart"/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QoQ</w:t>
      </w:r>
      <w:proofErr w:type="spellEnd"/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23375F" w14:textId="0313D91C" w:rsidR="00424993" w:rsidRPr="00AF3227" w:rsidRDefault="00424993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Corporate Segment</w:t>
      </w:r>
      <w:r w:rsid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CB33C" w14:textId="37B7407F" w:rsidR="00424993" w:rsidRPr="00424993" w:rsidRDefault="00424993" w:rsidP="0042499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- Net revenue down 58% YoY, driven by investment securities losses.</w:t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728AC3" w14:textId="74B694D4" w:rsidR="00424993" w:rsidRPr="00AF3227" w:rsidRDefault="00424993" w:rsidP="0042499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Analysis</w:t>
      </w:r>
      <w:r w:rsid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F322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423FC5" w14:textId="026F8A69" w:rsidR="00424993" w:rsidRPr="00424993" w:rsidRDefault="00424993" w:rsidP="00424993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Strong performance across segments, with notable growth in loans, deposits, and assets under management.</w:t>
      </w:r>
    </w:p>
    <w:p w14:paraId="6C9535BD" w14:textId="62F89F4B" w:rsidR="00424993" w:rsidRPr="00424993" w:rsidRDefault="00424993" w:rsidP="00424993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Concerns about potential economic challenges, inflation, and geopolitical uncertainties.</w:t>
      </w:r>
    </w:p>
    <w:p w14:paraId="10289116" w14:textId="6AF1C2BB" w:rsidR="00424993" w:rsidRPr="00424993" w:rsidRDefault="00424993" w:rsidP="00424993">
      <w:pPr>
        <w:pStyle w:val="ListParagraph"/>
        <w:numPr>
          <w:ilvl w:val="0"/>
          <w:numId w:val="3"/>
        </w:numPr>
        <w:ind w:left="142" w:hanging="14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Emphasis on adaptability to regulatory changes and maintaining a strong financial position.</w:t>
      </w:r>
    </w:p>
    <w:p w14:paraId="7F52B53B" w14:textId="5E329DBC" w:rsidR="00424993" w:rsidRPr="00424993" w:rsidRDefault="00424993" w:rsidP="0042499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Appendix:</w:t>
      </w:r>
    </w:p>
    <w:p w14:paraId="746D09C8" w14:textId="11F6A0F8" w:rsidR="005D6A82" w:rsidRDefault="00424993" w:rsidP="005D6A8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424993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Detailed financial tables, charts, and additional supporting information in the appendi</w:t>
      </w:r>
      <w:r w:rsidR="0047158D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727B3414" w14:textId="41CE721F" w:rsidR="0047158D" w:rsidRDefault="0047158D" w:rsidP="005D6A8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4B19CF0" w14:textId="4AD13BE8" w:rsidR="0047158D" w:rsidRDefault="0047158D" w:rsidP="005D6A8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50830F4A" w14:textId="49BA99EB" w:rsidR="0047158D" w:rsidRPr="00424993" w:rsidRDefault="0047158D" w:rsidP="005D6A82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sectPr w:rsidR="0047158D" w:rsidRPr="00424993" w:rsidSect="000F7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2F10"/>
    <w:multiLevelType w:val="hybridMultilevel"/>
    <w:tmpl w:val="4692D430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269"/>
    <w:multiLevelType w:val="hybridMultilevel"/>
    <w:tmpl w:val="5F26C878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06D"/>
    <w:multiLevelType w:val="hybridMultilevel"/>
    <w:tmpl w:val="8B2462D4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4F3D"/>
    <w:multiLevelType w:val="hybridMultilevel"/>
    <w:tmpl w:val="3552D15E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B6083"/>
    <w:multiLevelType w:val="hybridMultilevel"/>
    <w:tmpl w:val="A28454C6"/>
    <w:lvl w:ilvl="0" w:tplc="E05E1082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A7601"/>
    <w:multiLevelType w:val="hybridMultilevel"/>
    <w:tmpl w:val="A230A0B0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C716B"/>
    <w:multiLevelType w:val="hybridMultilevel"/>
    <w:tmpl w:val="FB5CBF4A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A56"/>
    <w:multiLevelType w:val="hybridMultilevel"/>
    <w:tmpl w:val="7222225C"/>
    <w:lvl w:ilvl="0" w:tplc="E05E1082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61CD6"/>
    <w:multiLevelType w:val="hybridMultilevel"/>
    <w:tmpl w:val="AA8AE9FC"/>
    <w:lvl w:ilvl="0" w:tplc="E05E1082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3B9748D9"/>
    <w:multiLevelType w:val="hybridMultilevel"/>
    <w:tmpl w:val="05FA96D0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A4C10"/>
    <w:multiLevelType w:val="hybridMultilevel"/>
    <w:tmpl w:val="8660A342"/>
    <w:lvl w:ilvl="0" w:tplc="E05E1082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0EB6"/>
    <w:multiLevelType w:val="hybridMultilevel"/>
    <w:tmpl w:val="3C5ADD08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6247F"/>
    <w:multiLevelType w:val="hybridMultilevel"/>
    <w:tmpl w:val="C6068C1A"/>
    <w:lvl w:ilvl="0" w:tplc="1FF693B4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D6B3EB2"/>
    <w:multiLevelType w:val="hybridMultilevel"/>
    <w:tmpl w:val="DF043CF4"/>
    <w:lvl w:ilvl="0" w:tplc="1FF693B4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E3905"/>
    <w:multiLevelType w:val="hybridMultilevel"/>
    <w:tmpl w:val="4C32A5B6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549F9"/>
    <w:multiLevelType w:val="hybridMultilevel"/>
    <w:tmpl w:val="5812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09F6"/>
    <w:multiLevelType w:val="hybridMultilevel"/>
    <w:tmpl w:val="84540ABA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A7A1A"/>
    <w:multiLevelType w:val="hybridMultilevel"/>
    <w:tmpl w:val="192C23D8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E4951"/>
    <w:multiLevelType w:val="hybridMultilevel"/>
    <w:tmpl w:val="D546763A"/>
    <w:lvl w:ilvl="0" w:tplc="19763D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30A40"/>
    <w:multiLevelType w:val="hybridMultilevel"/>
    <w:tmpl w:val="B4D27C6C"/>
    <w:lvl w:ilvl="0" w:tplc="E05E1082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 w15:restartNumberingAfterBreak="0">
    <w:nsid w:val="75434AC6"/>
    <w:multiLevelType w:val="hybridMultilevel"/>
    <w:tmpl w:val="B3986D82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A335A"/>
    <w:multiLevelType w:val="hybridMultilevel"/>
    <w:tmpl w:val="A274A360"/>
    <w:lvl w:ilvl="0" w:tplc="D15AEC62">
      <w:numFmt w:val="bullet"/>
      <w:lvlText w:val="-"/>
      <w:lvlJc w:val="left"/>
      <w:pPr>
        <w:ind w:left="720" w:hanging="72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36637">
    <w:abstractNumId w:val="15"/>
  </w:num>
  <w:num w:numId="2" w16cid:durableId="9455500">
    <w:abstractNumId w:val="18"/>
  </w:num>
  <w:num w:numId="3" w16cid:durableId="1572621359">
    <w:abstractNumId w:val="6"/>
  </w:num>
  <w:num w:numId="4" w16cid:durableId="1792360558">
    <w:abstractNumId w:val="21"/>
  </w:num>
  <w:num w:numId="5" w16cid:durableId="1274827701">
    <w:abstractNumId w:val="12"/>
  </w:num>
  <w:num w:numId="6" w16cid:durableId="618872477">
    <w:abstractNumId w:val="13"/>
  </w:num>
  <w:num w:numId="7" w16cid:durableId="1699235136">
    <w:abstractNumId w:val="19"/>
  </w:num>
  <w:num w:numId="8" w16cid:durableId="792332306">
    <w:abstractNumId w:val="10"/>
  </w:num>
  <w:num w:numId="9" w16cid:durableId="2041393032">
    <w:abstractNumId w:val="4"/>
  </w:num>
  <w:num w:numId="10" w16cid:durableId="279580531">
    <w:abstractNumId w:val="8"/>
  </w:num>
  <w:num w:numId="11" w16cid:durableId="1653829230">
    <w:abstractNumId w:val="7"/>
  </w:num>
  <w:num w:numId="12" w16cid:durableId="1885824734">
    <w:abstractNumId w:val="3"/>
  </w:num>
  <w:num w:numId="13" w16cid:durableId="19360210">
    <w:abstractNumId w:val="20"/>
  </w:num>
  <w:num w:numId="14" w16cid:durableId="416483268">
    <w:abstractNumId w:val="0"/>
  </w:num>
  <w:num w:numId="15" w16cid:durableId="230849234">
    <w:abstractNumId w:val="2"/>
  </w:num>
  <w:num w:numId="16" w16cid:durableId="1139225097">
    <w:abstractNumId w:val="11"/>
  </w:num>
  <w:num w:numId="17" w16cid:durableId="705371065">
    <w:abstractNumId w:val="9"/>
  </w:num>
  <w:num w:numId="18" w16cid:durableId="439377953">
    <w:abstractNumId w:val="5"/>
  </w:num>
  <w:num w:numId="19" w16cid:durableId="1743140799">
    <w:abstractNumId w:val="14"/>
  </w:num>
  <w:num w:numId="20" w16cid:durableId="705327640">
    <w:abstractNumId w:val="16"/>
  </w:num>
  <w:num w:numId="21" w16cid:durableId="992568265">
    <w:abstractNumId w:val="17"/>
  </w:num>
  <w:num w:numId="22" w16cid:durableId="162268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42"/>
    <w:rsid w:val="00071081"/>
    <w:rsid w:val="000A08F9"/>
    <w:rsid w:val="000F7379"/>
    <w:rsid w:val="00103BFA"/>
    <w:rsid w:val="00127EEF"/>
    <w:rsid w:val="00161D4F"/>
    <w:rsid w:val="001E4985"/>
    <w:rsid w:val="0025370B"/>
    <w:rsid w:val="00281505"/>
    <w:rsid w:val="00340EF4"/>
    <w:rsid w:val="003F061A"/>
    <w:rsid w:val="00424993"/>
    <w:rsid w:val="0047158D"/>
    <w:rsid w:val="00476D87"/>
    <w:rsid w:val="004779C9"/>
    <w:rsid w:val="00483923"/>
    <w:rsid w:val="004C6A90"/>
    <w:rsid w:val="005757F2"/>
    <w:rsid w:val="005A0E16"/>
    <w:rsid w:val="005B4222"/>
    <w:rsid w:val="005D6A82"/>
    <w:rsid w:val="00621C72"/>
    <w:rsid w:val="006564DE"/>
    <w:rsid w:val="00657029"/>
    <w:rsid w:val="006C0EC7"/>
    <w:rsid w:val="006E2AF0"/>
    <w:rsid w:val="006F379E"/>
    <w:rsid w:val="007069BB"/>
    <w:rsid w:val="00824D42"/>
    <w:rsid w:val="008A19C7"/>
    <w:rsid w:val="008C77E8"/>
    <w:rsid w:val="008F7237"/>
    <w:rsid w:val="009D3424"/>
    <w:rsid w:val="009E1D50"/>
    <w:rsid w:val="00A2123D"/>
    <w:rsid w:val="00A31E65"/>
    <w:rsid w:val="00AB3A16"/>
    <w:rsid w:val="00AF3227"/>
    <w:rsid w:val="00B6734E"/>
    <w:rsid w:val="00B71309"/>
    <w:rsid w:val="00D66A93"/>
    <w:rsid w:val="00DA72F0"/>
    <w:rsid w:val="00DC5FE8"/>
    <w:rsid w:val="00DF0EF6"/>
    <w:rsid w:val="00EC272E"/>
    <w:rsid w:val="00EC3976"/>
    <w:rsid w:val="00FA7FED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AD55"/>
  <w15:chartTrackingRefBased/>
  <w15:docId w15:val="{201B5A6C-5EAB-4C0C-889A-1A7F51C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72b678a4c39e02d/Documents/Equity%20Research%20Report%20on%20JP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https://d.docs.live.net/b72b678a4c39e02d/Documents/Equity%20Research%20Report%20on%20JP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https://d.docs.live.net/b72b678a4c39e02d/Documents/Equity%20Research%20Report%20on%20JP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latin typeface="Arial Narrow" panose="020B0606020202030204" pitchFamily="34" charset="0"/>
              </a:rPr>
              <a:t>Total Net Revenue Trend (Quarterly):</a:t>
            </a:r>
          </a:p>
        </c:rich>
      </c:tx>
      <c:layout>
        <c:manualLayout>
          <c:xMode val="edge"/>
          <c:yMode val="edge"/>
          <c:x val="0.18316477781317797"/>
          <c:y val="2.6272577996715927E-2"/>
        </c:manualLayout>
      </c:layout>
      <c:overlay val="0"/>
      <c:spPr>
        <a:noFill/>
        <a:ln w="0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55089987019801"/>
          <c:y val="0.16567277935209215"/>
          <c:w val="0.84629762587961177"/>
          <c:h val="0.73070571919866711"/>
        </c:manualLayout>
      </c:layout>
      <c:lineChart>
        <c:grouping val="standard"/>
        <c:varyColors val="0"/>
        <c:ser>
          <c:idx val="0"/>
          <c:order val="0"/>
          <c:tx>
            <c:v>$ In Billions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[$$-409]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'[Equity Research Report on JPM.xlsx]Sheet3'!$O$4:$S$4</c:f>
              <c:strCache>
                <c:ptCount val="5"/>
                <c:pt idx="0">
                  <c:v>3Q23</c:v>
                </c:pt>
                <c:pt idx="1">
                  <c:v>2Q23</c:v>
                </c:pt>
                <c:pt idx="2">
                  <c:v>1Q23</c:v>
                </c:pt>
                <c:pt idx="3">
                  <c:v>4Q22</c:v>
                </c:pt>
                <c:pt idx="4">
                  <c:v>3Q22</c:v>
                </c:pt>
              </c:strCache>
            </c:strRef>
          </c:cat>
          <c:val>
            <c:numRef>
              <c:f>'[Equity Research Report on JPM.xlsx]Sheet3'!$O$5:$S$5</c:f>
              <c:numCache>
                <c:formatCode>General</c:formatCode>
                <c:ptCount val="5"/>
                <c:pt idx="0">
                  <c:v>39874</c:v>
                </c:pt>
                <c:pt idx="1">
                  <c:v>41307</c:v>
                </c:pt>
                <c:pt idx="2">
                  <c:v>38349</c:v>
                </c:pt>
                <c:pt idx="3">
                  <c:v>34547</c:v>
                </c:pt>
                <c:pt idx="4">
                  <c:v>32716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2-4D66-ACA4-2C318A3D033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4347536"/>
        <c:axId val="706433664"/>
      </c:lineChart>
      <c:catAx>
        <c:axId val="40434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33664"/>
        <c:crosses val="autoZero"/>
        <c:auto val="1"/>
        <c:lblAlgn val="ctr"/>
        <c:lblOffset val="100"/>
        <c:noMultiLvlLbl val="0"/>
      </c:catAx>
      <c:valAx>
        <c:axId val="706433664"/>
        <c:scaling>
          <c:orientation val="minMax"/>
          <c:min val="32000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" sourceLinked="0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47536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134723044012557"/>
          <c:y val="0.18805580336940644"/>
          <c:w val="0.27476097279747541"/>
          <c:h val="9.3946357197276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latin typeface="Arial Narrow" panose="020B0606020202030204" pitchFamily="34" charset="0"/>
              </a:rPr>
              <a:t>ROE by Business Segments in </a:t>
            </a:r>
            <a:r>
              <a:rPr lang="en-IN" sz="1200" b="1" i="0" u="none" strike="noStrike" baseline="0">
                <a:effectLst/>
                <a:latin typeface="Aptos Narrow" panose="020B0004020202020204" pitchFamily="34" charset="0"/>
              </a:rPr>
              <a:t>Q3 2023 </a:t>
            </a:r>
            <a:endParaRPr lang="en-US" sz="1200" b="1">
              <a:latin typeface="Aptos Narrow" panose="020B0004020202020204" pitchFamily="34" charset="0"/>
            </a:endParaRPr>
          </a:p>
        </c:rich>
      </c:tx>
      <c:layout>
        <c:manualLayout>
          <c:xMode val="edge"/>
          <c:yMode val="edge"/>
          <c:x val="0.15867344341154682"/>
          <c:y val="4.57142857142857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'[Equity Research Report on JPM.xlsx]Sheet3'!$N$66</c:f>
              <c:strCache>
                <c:ptCount val="1"/>
                <c:pt idx="0">
                  <c:v>ROE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4CB-404A-A832-8293D43A085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4CB-404A-A832-8293D43A085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4CB-404A-A832-8293D43A0855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4CB-404A-A832-8293D43A0855}"/>
              </c:ext>
            </c:extLst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'[Equity Research Report on JPM.xlsx]Sheet3'!$O$65:$R$65</c:f>
              <c:strCache>
                <c:ptCount val="4"/>
                <c:pt idx="0">
                  <c:v>CCB</c:v>
                </c:pt>
                <c:pt idx="1">
                  <c:v>CIB</c:v>
                </c:pt>
                <c:pt idx="2">
                  <c:v>CB</c:v>
                </c:pt>
                <c:pt idx="3">
                  <c:v>AWM</c:v>
                </c:pt>
              </c:strCache>
            </c:strRef>
          </c:cat>
          <c:val>
            <c:numRef>
              <c:f>'[Equity Research Report on JPM.xlsx]Sheet3'!$O$66:$R$66</c:f>
              <c:numCache>
                <c:formatCode>General</c:formatCode>
                <c:ptCount val="4"/>
                <c:pt idx="0">
                  <c:v>41</c:v>
                </c:pt>
                <c:pt idx="1">
                  <c:v>11</c:v>
                </c:pt>
                <c:pt idx="2">
                  <c:v>25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4CB-404A-A832-8293D43A0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9916560"/>
        <c:axId val="785412224"/>
      </c:barChart>
      <c:catAx>
        <c:axId val="174991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12224"/>
        <c:crosses val="autoZero"/>
        <c:auto val="1"/>
        <c:lblAlgn val="ctr"/>
        <c:lblOffset val="100"/>
        <c:noMultiLvlLbl val="0"/>
      </c:catAx>
      <c:valAx>
        <c:axId val="78541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916560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Arial" panose="020B0604020202020204" pitchFamily="34" charset="0"/>
                <a:cs typeface="Arial" panose="020B0604020202020204" pitchFamily="34" charset="0"/>
              </a:rPr>
              <a:t>ROE</a:t>
            </a:r>
            <a:endParaRPr lang="en-IN" b="1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55089987019801"/>
          <c:y val="0.16567277935209215"/>
          <c:w val="0.84629762587961177"/>
          <c:h val="0.73070571919866711"/>
        </c:manualLayout>
      </c:layout>
      <c:lineChart>
        <c:grouping val="standard"/>
        <c:varyColors val="0"/>
        <c:ser>
          <c:idx val="0"/>
          <c:order val="0"/>
          <c:tx>
            <c:strRef>
              <c:f>'[Equity Research Report on JPM.xlsx]Sheet3'!$N$44</c:f>
              <c:strCache>
                <c:ptCount val="1"/>
                <c:pt idx="0">
                  <c:v>ROE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ED7D31">
                  <a:lumMod val="75000"/>
                </a:srgb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'[Equity Research Report on JPM.xlsx]Sheet3'!$O$43:$S$43</c:f>
              <c:strCache>
                <c:ptCount val="5"/>
                <c:pt idx="0">
                  <c:v>3Q23</c:v>
                </c:pt>
                <c:pt idx="1">
                  <c:v>2Q23</c:v>
                </c:pt>
                <c:pt idx="2">
                  <c:v>1Q23</c:v>
                </c:pt>
                <c:pt idx="3">
                  <c:v>4Q22</c:v>
                </c:pt>
                <c:pt idx="4">
                  <c:v>3Q22</c:v>
                </c:pt>
              </c:strCache>
            </c:strRef>
          </c:cat>
          <c:val>
            <c:numRef>
              <c:f>'[Equity Research Report on JPM.xlsx]Sheet3'!$O$44:$S$44</c:f>
              <c:numCache>
                <c:formatCode>0%</c:formatCode>
                <c:ptCount val="5"/>
                <c:pt idx="0">
                  <c:v>0.18</c:v>
                </c:pt>
                <c:pt idx="1">
                  <c:v>0.2</c:v>
                </c:pt>
                <c:pt idx="2">
                  <c:v>0.18</c:v>
                </c:pt>
                <c:pt idx="3">
                  <c:v>0.16</c:v>
                </c:pt>
                <c:pt idx="4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9E-470B-A066-06E326553B7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4347536"/>
        <c:axId val="706433664"/>
      </c:lineChart>
      <c:catAx>
        <c:axId val="40434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33664"/>
        <c:crosses val="autoZero"/>
        <c:auto val="1"/>
        <c:lblAlgn val="ctr"/>
        <c:lblOffset val="100"/>
        <c:noMultiLvlLbl val="0"/>
      </c:catAx>
      <c:valAx>
        <c:axId val="706433664"/>
        <c:scaling>
          <c:orientation val="minMax"/>
          <c:min val="0.14000000000000001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4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233262027217696"/>
          <c:y val="0.16574219889180516"/>
          <c:w val="0.20928375282569447"/>
          <c:h val="0.137843030037911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Arial Narrow" panose="020B0606020202030204" pitchFamily="34" charset="0"/>
              </a:rPr>
              <a:t> Earnings Per Share Trend (Quarterly):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55089987019801"/>
          <c:y val="0.16567277935209215"/>
          <c:w val="0.84629762587961177"/>
          <c:h val="0.73070571919866711"/>
        </c:manualLayout>
      </c:layout>
      <c:lineChart>
        <c:grouping val="standard"/>
        <c:varyColors val="0"/>
        <c:ser>
          <c:idx val="0"/>
          <c:order val="0"/>
          <c:tx>
            <c:strRef>
              <c:f>'[Equity Research Report on JPM.xlsx]Sheet3'!$N$25</c:f>
              <c:strCache>
                <c:ptCount val="1"/>
                <c:pt idx="0">
                  <c:v>Basic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'[Equity Research Report on JPM.xlsx]Sheet3'!$O$24:$S$24</c:f>
              <c:strCache>
                <c:ptCount val="5"/>
                <c:pt idx="0">
                  <c:v>3Q23</c:v>
                </c:pt>
                <c:pt idx="1">
                  <c:v>2Q23</c:v>
                </c:pt>
                <c:pt idx="2">
                  <c:v>1Q23</c:v>
                </c:pt>
                <c:pt idx="3">
                  <c:v>4Q22</c:v>
                </c:pt>
                <c:pt idx="4">
                  <c:v>3Q22</c:v>
                </c:pt>
              </c:strCache>
            </c:strRef>
          </c:cat>
          <c:val>
            <c:numRef>
              <c:f>'[Equity Research Report on JPM.xlsx]Sheet3'!$O$25:$S$25</c:f>
              <c:numCache>
                <c:formatCode>0.00</c:formatCode>
                <c:ptCount val="5"/>
                <c:pt idx="0">
                  <c:v>4.33</c:v>
                </c:pt>
                <c:pt idx="1">
                  <c:v>4.76</c:v>
                </c:pt>
                <c:pt idx="2">
                  <c:v>4.1100000000000003</c:v>
                </c:pt>
                <c:pt idx="3">
                  <c:v>3.58</c:v>
                </c:pt>
                <c:pt idx="4">
                  <c:v>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49-450D-A8DF-FCC2A0E088E6}"/>
            </c:ext>
          </c:extLst>
        </c:ser>
        <c:ser>
          <c:idx val="1"/>
          <c:order val="1"/>
          <c:tx>
            <c:strRef>
              <c:f>'[Equity Research Report on JPM.xlsx]Sheet3'!$N$26</c:f>
              <c:strCache>
                <c:ptCount val="1"/>
                <c:pt idx="0">
                  <c:v>Diluted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'[Equity Research Report on JPM.xlsx]Sheet3'!$O$24:$S$24</c:f>
              <c:strCache>
                <c:ptCount val="5"/>
                <c:pt idx="0">
                  <c:v>3Q23</c:v>
                </c:pt>
                <c:pt idx="1">
                  <c:v>2Q23</c:v>
                </c:pt>
                <c:pt idx="2">
                  <c:v>1Q23</c:v>
                </c:pt>
                <c:pt idx="3">
                  <c:v>4Q22</c:v>
                </c:pt>
                <c:pt idx="4">
                  <c:v>3Q22</c:v>
                </c:pt>
              </c:strCache>
            </c:strRef>
          </c:cat>
          <c:val>
            <c:numRef>
              <c:f>'[Equity Research Report on JPM.xlsx]Sheet3'!$O$26:$S$26</c:f>
              <c:numCache>
                <c:formatCode>General</c:formatCode>
                <c:ptCount val="5"/>
                <c:pt idx="0">
                  <c:v>4.33</c:v>
                </c:pt>
                <c:pt idx="1">
                  <c:v>4.75</c:v>
                </c:pt>
                <c:pt idx="2">
                  <c:v>4.0999999999999996</c:v>
                </c:pt>
                <c:pt idx="3">
                  <c:v>3.57</c:v>
                </c:pt>
                <c:pt idx="4">
                  <c:v>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49-450D-A8DF-FCC2A0E08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347536"/>
        <c:axId val="706433664"/>
      </c:lineChart>
      <c:catAx>
        <c:axId val="40434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433664"/>
        <c:crosses val="autoZero"/>
        <c:auto val="1"/>
        <c:lblAlgn val="ctr"/>
        <c:lblOffset val="100"/>
        <c:noMultiLvlLbl val="0"/>
      </c:catAx>
      <c:valAx>
        <c:axId val="706433664"/>
        <c:scaling>
          <c:orientation val="minMax"/>
          <c:min val="3"/>
        </c:scaling>
        <c:delete val="0"/>
        <c:axPos val="l"/>
        <c:majorGridlines>
          <c:spPr>
            <a:ln w="3175" cap="flat" cmpd="sng" algn="ctr">
              <a:solidFill>
                <a:sysClr val="windowText" lastClr="000000">
                  <a:lumMod val="15000"/>
                  <a:lumOff val="85000"/>
                </a:sys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47536"/>
        <c:crosses val="autoZero"/>
        <c:crossBetween val="between"/>
        <c:majorUnit val="0.30000000000000004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633256918834509"/>
          <c:y val="0.17541253414661212"/>
          <c:w val="0.36699398651117976"/>
          <c:h val="0.123954132173706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2535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Mogia</dc:creator>
  <cp:keywords/>
  <dc:description/>
  <cp:lastModifiedBy>Hemant Mogia</cp:lastModifiedBy>
  <cp:revision>2</cp:revision>
  <cp:lastPrinted>2023-12-28T16:07:00Z</cp:lastPrinted>
  <dcterms:created xsi:type="dcterms:W3CDTF">2023-12-28T16:07:00Z</dcterms:created>
  <dcterms:modified xsi:type="dcterms:W3CDTF">2023-12-28T16:07:00Z</dcterms:modified>
</cp:coreProperties>
</file>