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J&amp;J Supplier Rationalization: Business Case</w:t>
      </w:r>
    </w:p>
    <w:p>
      <w:pPr/>
      <w:r>
        <w:t xml:space="preserve">Oct 29, 2026</w:t>
      </w:r>
      <w:r>
        <w:t xml:space="preserve"> · </w:t>
      </w:r>
      <w:r>
        <w:t xml:space="preserve">@Hemant</w:t>
      </w:r>
    </w:p>
    <w:p>
      <w:pPr>
        <w:pStyle w:val="Heading2"/>
      </w:pPr>
      <w:r>
        <w:t xml:space="preserve">Executive summary</w:t>
      </w:r>
    </w:p>
    <w:p>
      <w:pPr/>
      <w:r>
        <w:rPr>
          <w:b/>
        </w:rPr>
        <w:t xml:space="preserve">Recommendation: small cut, big impact.</w:t>
      </w:r>
      <w:r>
        <w:t xml:space="preserve"> Every supplier cut has to be justified and defended with the people who buy from it, so start with the cuts that are easiest to defend: merge duplicate records and move one-time vendors to catalogs. That cuts </w:t>
      </w:r>
      <w:r>
        <w:rPr>
          <w:b/>
        </w:rPr>
        <w:t xml:space="preserve">27% of active suppliers</w:t>
      </w:r>
      <w:r>
        <w:t xml:space="preserve"> and still captures </w:t>
      </w:r>
      <w:r>
        <w:rPr>
          <w:b/>
        </w:rPr>
        <w:t xml:space="preserve">$356M a year, 86% of the base-case value</w:t>
      </w:r>
      <w:r>
        <w:t xml:space="preserve">, for $34M one-time. Then re-tender the </w:t>
      </w:r>
      <w:r>
        <w:rPr>
          <w:b/>
        </w:rPr>
        <w:t xml:space="preserve">~150 largest Leverage suppliers</w:t>
      </w:r>
      <w:r>
        <w:t xml:space="preserve">, who hold 80% of the spend the re-tender saving applies to.</w:t>
      </w:r>
    </w:p>
    <w:p>
      <w:pPr/>
      <w:r>
        <w:rPr>
          <w:b/>
        </w:rPr>
        <w:t xml:space="preserve">Where J&amp;J is today:</w:t>
      </w:r>
      <w:r>
        <w:t xml:space="preserve"> J&amp;J was quoted at </w:t>
      </w:r>
      <w:r>
        <w:rPr>
          <w:b/>
        </w:rPr>
        <w:t xml:space="preserve">80,000 suppliers</w:t>
      </w:r>
      <w:r>
        <w:t xml:space="preserve"> (around 2021, before the Kenvue spin-off) and reports </w:t>
      </w:r>
      <w:r>
        <w:rPr>
          <w:b/>
        </w:rPr>
        <w:t xml:space="preserve">~39,000</w:t>
      </w:r>
      <w:r>
        <w:t xml:space="preserve"> for FY2025. The 2023 Kenvue spin-off took an estimated 12,600–24,000 suppliers; the rest is a </w:t>
      </w:r>
      <w:r>
        <w:rPr>
          <w:b/>
        </w:rPr>
        <w:t xml:space="preserve">30–42% reduction</w:t>
      </w:r>
      <w:r>
        <w:t xml:space="preserve">, the size our rules produce on 344,504 real purchase orders. From ~39,000, a category-level target model takes J&amp;J to </w:t>
      </w:r>
      <w:r>
        <w:rPr>
          <w:b/>
        </w:rPr>
        <w:t xml:space="preserve">~32,100</w:t>
      </w:r>
      <w:r>
        <w:t xml:space="preserve">.</w:t>
      </w:r>
    </w:p>
    <w:p>
      <w:pPr>
        <w:pStyle w:val="ListParagraph"/>
        <w:numPr>
          <w:ilvl w:val="0"/>
          <w:numId w:val="2"/>
        </w:numPr>
      </w:pPr>
      <w:r>
        <w:rPr>
          <w:b/>
        </w:rPr>
        <w:t xml:space="preserve">Measured vs assumed:</w:t>
      </w:r>
      <w:r>
        <w:t xml:space="preserve"> in the base plan (−44%) savings are $414M a year, of which </w:t>
      </w:r>
      <w:r>
        <w:rPr>
          <w:b/>
        </w:rPr>
        <w:t xml:space="preserve">$134M is measured</w:t>
      </w:r>
      <w:r>
        <w:t xml:space="preserve"> in the data; the $300M goal needs a re-tender saving of </w:t>
      </w:r>
      <w:r>
        <w:rPr>
          <w:b/>
        </w:rPr>
        <w:t xml:space="preserve">at least 0.89%</w:t>
      </w:r>
      <w:r>
        <w:t xml:space="preserve"> (1.2% in the conservative plan). These are cost savings, so they show up in operating profit, not revenue.</w:t>
      </w:r>
    </w:p>
    <w:p>
      <w:pPr>
        <w:pStyle w:val="ListParagraph"/>
        <w:numPr>
          <w:ilvl w:val="0"/>
          <w:numId w:val="2"/>
        </w:numPr>
      </w:pPr>
      <w:r>
        <w:rPr>
          <w:b/>
        </w:rPr>
        <w:t xml:space="preserve">Cutting deeper adds little:</w:t>
      </w:r>
      <w:r>
        <w:t xml:space="preserve"> going from 27% to 44% cuts 13,700 more suppliers for $58M a year; going to 52% adds 6,200 more for $12M, and adds supply risk.</w:t>
      </w:r>
    </w:p>
    <w:p>
      <w:pPr/>
      <w:r>
        <w:t xml:space="preserve">Strategic suppliers are never cut. Real J&amp;J examples from SEC filings (Alkermes, MeiraGTx, Mersana) are sole-source manufacturers that move to partnership agreements; Emergent BioSolutions, whose contract J&amp;J ended in 2022 over quality breaches, shows why critical products need a qualified second source.</w:t>
      </w:r>
    </w:p>
    <w:p>
      <w:pPr/>
      <w:r>
        <w:rPr>
          <w:i/>
        </w:rPr>
        <w:t xml:space="preserve">Student case study: methods run on real public procurement data (State of California purchase orders, FY2012–15) and are scaled to J&amp;J's published totals. J&amp;J's internal supplier data is not public.</w:t>
      </w:r>
    </w:p>
    <w:p>
      <w:pPr>
        <w:pStyle w:val="Heading2"/>
      </w:pPr>
      <w:r>
        <w:t xml:space="preserve">Goal and method</w:t>
      </w:r>
    </w:p>
    <w:p>
      <w:pPr/>
      <w:r>
        <w:rPr>
          <w:b/>
        </w:rPr>
        <w:t xml:space="preserve">Goal:</w:t>
      </w:r>
      <w:r>
        <w:t xml:space="preserve"> decide which suppliers J&amp;J should keep, consolidate or exit, with a data reason behind every decision; find the plan that captures most of the value with the fewest cuts; and measure any supply risk the plan adds.</w:t>
      </w:r>
    </w:p>
    <w:p>
      <w:pPr/>
      <w:r>
        <w:t xml:space="preserve">We answer four questions, one method each. Each answer feeds the next; together they produce the exit list and the business case numbers.</w:t>
      </w:r>
    </w:p>
    <w:tbl>
      <w:tblPr>
        <w:tblStyle w:val="TableGrid"/>
        <w:tblW w:w="0" w:type="auto"/>
        <w:tblLayout w:type="fixed"/>
        <w:tblLook w:val="04A0" w:firstRow="1" w:lastRow="0" w:firstColumn="0" w:lastColumn="0" w:noHBand="0" w:noVBand="1"/>
      </w:tblPr>
      <w:tblGrid>
        <w:gridCol w:w="720"/>
        <w:gridCol w:w="2030"/>
        <w:gridCol w:w="2576"/>
        <w:gridCol w:w="1424"/>
        <w:gridCol w:w="2610"/>
      </w:tblGrid>
      <w:tr>
        <w:trPr>
          <w:tblHeader/>
        </w:trPr>
        <w:tc>
          <w:tcPr>
            <w:tcW w:w="720" w:type="dxa"/>
            <w:shd w:val="clear" w:color="auto" w:fill="F2F2F2"/>
          </w:tcPr>
          <w:p>
            <w:pPr/>
            <w:r>
              <w:t xml:space="preserve">#</w:t>
            </w:r>
          </w:p>
        </w:tc>
        <w:tc>
          <w:tcPr>
            <w:tcW w:w="2030" w:type="dxa"/>
            <w:shd w:val="clear" w:color="auto" w:fill="F2F2F2"/>
          </w:tcPr>
          <w:p>
            <w:pPr/>
            <w:r>
              <w:t xml:space="preserve">Decision question</w:t>
            </w:r>
          </w:p>
        </w:tc>
        <w:tc>
          <w:tcPr>
            <w:tcW w:w="2576" w:type="dxa"/>
            <w:shd w:val="clear" w:color="auto" w:fill="F2F2F2"/>
          </w:tcPr>
          <w:p>
            <w:pPr/>
            <w:r>
              <w:t xml:space="preserve">Method</w:t>
            </w:r>
          </w:p>
        </w:tc>
        <w:tc>
          <w:tcPr>
            <w:tcW w:w="1424" w:type="dxa"/>
            <w:shd w:val="clear" w:color="auto" w:fill="F2F2F2"/>
          </w:tcPr>
          <w:p>
            <w:pPr/>
            <w:r>
              <w:t xml:space="preserve">Tool</w:t>
            </w:r>
          </w:p>
        </w:tc>
        <w:tc>
          <w:tcPr>
            <w:tcW w:w="2610" w:type="dxa"/>
            <w:shd w:val="clear" w:color="auto" w:fill="F2F2F2"/>
          </w:tcPr>
          <w:p>
            <w:pPr/>
            <w:r>
              <w:t xml:space="preserve">Output</w:t>
            </w:r>
          </w:p>
        </w:tc>
      </w:tr>
      <w:tr>
        <w:tc>
          <w:tcPr>
            <w:tcW w:w="720" w:type="dxa"/>
          </w:tcPr>
          <w:p>
            <w:pPr/>
            <w:r>
              <w:t xml:space="preserve">1</w:t>
            </w:r>
          </w:p>
        </w:tc>
        <w:tc>
          <w:tcPr>
            <w:tcW w:w="2030" w:type="dxa"/>
          </w:tcPr>
          <w:p>
            <w:pPr/>
            <w:r>
              <w:t xml:space="preserve">Where does the spend sit?</w:t>
            </w:r>
          </w:p>
        </w:tc>
        <w:tc>
          <w:tcPr>
            <w:tcW w:w="2576" w:type="dxa"/>
          </w:tcPr>
          <w:p>
            <w:pPr/>
            <w:r>
              <w:t xml:space="preserve">Spend cube + Pareto / ABC analysis</w:t>
            </w:r>
          </w:p>
        </w:tc>
        <w:tc>
          <w:tcPr>
            <w:tcW w:w="1424" w:type="dxa"/>
          </w:tcPr>
          <w:p>
            <w:pPr/>
            <w:r>
              <w:t xml:space="preserve">SQL</w:t>
            </w:r>
          </w:p>
        </w:tc>
        <w:tc>
          <w:tcPr>
            <w:tcW w:w="2610" w:type="dxa"/>
          </w:tcPr>
          <w:p>
            <w:pPr/>
            <w:r>
              <w:t xml:space="preserve">A / B / C segment per supplier</w:t>
            </w:r>
          </w:p>
        </w:tc>
      </w:tr>
      <w:tr>
        <w:tc>
          <w:tcPr>
            <w:tcW w:w="720" w:type="dxa"/>
          </w:tcPr>
          <w:p>
            <w:pPr/>
            <w:r>
              <w:t xml:space="preserve">2</w:t>
            </w:r>
          </w:p>
        </w:tc>
        <w:tc>
          <w:tcPr>
            <w:tcW w:w="2030" w:type="dxa"/>
          </w:tcPr>
          <w:p>
            <w:pPr/>
            <w:r>
              <w:t xml:space="preserve">How should each category be handled?</w:t>
            </w:r>
          </w:p>
        </w:tc>
        <w:tc>
          <w:tcPr>
            <w:tcW w:w="2576" w:type="dxa"/>
          </w:tcPr>
          <w:p>
            <w:pPr/>
            <w:r>
              <w:t xml:space="preserve">Kraljic matrix (value vs supply risk)</w:t>
            </w:r>
          </w:p>
        </w:tc>
        <w:tc>
          <w:tcPr>
            <w:tcW w:w="1424" w:type="dxa"/>
          </w:tcPr>
          <w:p>
            <w:pPr/>
            <w:r>
              <w:t xml:space="preserve">Python</w:t>
            </w:r>
          </w:p>
        </w:tc>
        <w:tc>
          <w:tcPr>
            <w:tcW w:w="2610" w:type="dxa"/>
          </w:tcPr>
          <w:p>
            <w:pPr/>
            <w:r>
              <w:t xml:space="preserve">Quadrant per category, which sets the agreement type</w:t>
            </w:r>
          </w:p>
        </w:tc>
      </w:tr>
      <w:tr>
        <w:tc>
          <w:tcPr>
            <w:tcW w:w="720" w:type="dxa"/>
          </w:tcPr>
          <w:p>
            <w:pPr/>
            <w:r>
              <w:t xml:space="preserve">3</w:t>
            </w:r>
          </w:p>
        </w:tc>
        <w:tc>
          <w:tcPr>
            <w:tcW w:w="2030" w:type="dxa"/>
          </w:tcPr>
          <w:p>
            <w:pPr/>
            <w:r>
              <w:t xml:space="preserve">Which suppliers stay and which go?</w:t>
            </w:r>
          </w:p>
        </w:tc>
        <w:tc>
          <w:tcPr>
            <w:tcW w:w="2576" w:type="dxa"/>
          </w:tcPr>
          <w:p>
            <w:pPr/>
            <w:r>
              <w:t xml:space="preserve">Duplicate detection + weighted scorecard + rules 1–5</w:t>
            </w:r>
          </w:p>
        </w:tc>
        <w:tc>
          <w:tcPr>
            <w:tcW w:w="1424" w:type="dxa"/>
          </w:tcPr>
          <w:p>
            <w:pPr/>
            <w:r>
              <w:t xml:space="preserve">Python (rapidfuzz), SQL</w:t>
            </w:r>
          </w:p>
        </w:tc>
        <w:tc>
          <w:tcPr>
            <w:tcW w:w="2610" w:type="dxa"/>
          </w:tcPr>
          <w:p>
            <w:pPr/>
            <w:r>
              <w:t xml:space="preserve">Keep / consolidate / exit list, one reason code per supplier</w:t>
            </w:r>
          </w:p>
        </w:tc>
      </w:tr>
      <w:tr>
        <w:tc>
          <w:tcPr>
            <w:tcW w:w="720" w:type="dxa"/>
          </w:tcPr>
          <w:p>
            <w:pPr/>
            <w:r>
              <w:t xml:space="preserve">4</w:t>
            </w:r>
          </w:p>
        </w:tc>
        <w:tc>
          <w:tcPr>
            <w:tcW w:w="2030" w:type="dxa"/>
          </w:tcPr>
          <w:p>
            <w:pPr/>
            <w:r>
              <w:t xml:space="preserve">What is it worth?</w:t>
            </w:r>
          </w:p>
        </w:tc>
        <w:tc>
          <w:tcPr>
            <w:tcW w:w="2576" w:type="dxa"/>
          </w:tcPr>
          <w:p>
            <w:pPr/>
            <w:r>
              <w:t xml:space="preserve">Savings model, low / base / high scenarios</w:t>
            </w:r>
          </w:p>
        </w:tc>
        <w:tc>
          <w:tcPr>
            <w:tcW w:w="1424" w:type="dxa"/>
          </w:tcPr>
          <w:p>
            <w:pPr/>
            <w:r>
              <w:t xml:space="preserve">Python</w:t>
            </w:r>
          </w:p>
        </w:tc>
        <w:tc>
          <w:tcPr>
            <w:tcW w:w="2610" w:type="dxa"/>
          </w:tcPr>
          <w:p>
            <w:pPr/>
            <w:r>
              <w:t xml:space="preserve">Savings, one-time cost, NPV</w:t>
            </w:r>
          </w:p>
        </w:tc>
      </w:tr>
    </w:tbl>
    <w:p>
      <w:pPr/>
      <w:r>
        <w:rPr>
          <w:b/>
        </w:rPr>
        <w:t xml:space="preserve">The one AI/ML piece:</w:t>
      </w:r>
      <w:r>
        <w:t xml:space="preserve"> fuzzy name matching to find duplicate suppliers (for example "Acme Lab Supply Inc" and "ACME Laboratory Supplies"). Duplicates are the easiest exits to justify, so this is where ML directly supports the recommendation.</w:t>
      </w:r>
    </w:p>
    <w:p>
      <w:pPr/>
      <w:r>
        <w:rPr>
          <w:b/>
        </w:rPr>
        <w:t xml:space="preserve">One dashboard</w:t>
      </w:r>
      <w:r>
        <w:t xml:space="preserve"> (Power BI or Tableau), one view per question: Pareto curve, Kraljic 2x2, exit list by reason code, savings bridge.</w:t>
      </w:r>
    </w:p>
    <w:p>
      <w:pPr/>
      <w:r>
        <w:rPr>
          <w:b/>
        </w:rPr>
        <w:t xml:space="preserve">Deliberately left out</w:t>
      </w:r>
      <w:r>
        <w:t xml:space="preserve">, because none of them would change the recommendation: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Method</w:t>
            </w:r>
          </w:p>
        </w:tc>
        <w:tc>
          <w:tcPr>
            <w:tcW w:w="4920" w:type="dxa"/>
            <w:shd w:val="clear" w:color="auto" w:fill="F2F2F2"/>
          </w:tcPr>
          <w:p>
            <w:pPr/>
            <w:r>
              <w:t xml:space="preserve">Why it is out</w:t>
            </w:r>
          </w:p>
        </w:tc>
      </w:tr>
      <w:tr>
        <w:tc>
          <w:tcPr>
            <w:tcW w:w="4440" w:type="dxa"/>
          </w:tcPr>
          <w:p>
            <w:pPr/>
            <w:r>
              <w:t xml:space="preserve">NLP spend classification</w:t>
            </w:r>
          </w:p>
        </w:tc>
        <w:tc>
          <w:tcPr>
            <w:tcW w:w="4920" w:type="dxa"/>
          </w:tcPr>
          <w:p>
            <w:pPr/>
            <w:r>
              <w:t xml:space="preserve">Our synthetic data is already categorized; it solves a real-data problem we don't have</w:t>
            </w:r>
          </w:p>
        </w:tc>
      </w:tr>
      <w:tr>
        <w:tc>
          <w:tcPr>
            <w:tcW w:w="4440" w:type="dxa"/>
          </w:tcPr>
          <w:p>
            <w:pPr/>
            <w:r>
              <w:t xml:space="preserve">Supplier risk prediction (random forest, XGBoost)</w:t>
            </w:r>
          </w:p>
        </w:tc>
        <w:tc>
          <w:tcPr>
            <w:tcW w:w="4920" w:type="dxa"/>
          </w:tcPr>
          <w:p>
            <w:pPr/>
            <w:r>
              <w:t xml:space="preserve">Needs real failure history; on synthetic data it would only learn our own assumptions</w:t>
            </w:r>
          </w:p>
        </w:tc>
      </w:tr>
      <w:tr>
        <w:tc>
          <w:tcPr>
            <w:tcW w:w="4440" w:type="dxa"/>
          </w:tcPr>
          <w:p>
            <w:pPr/>
            <w:r>
              <w:t xml:space="preserve">K-means clustering</w:t>
            </w:r>
          </w:p>
        </w:tc>
        <w:tc>
          <w:tcPr>
            <w:tcW w:w="4920" w:type="dxa"/>
          </w:tcPr>
          <w:p>
            <w:pPr/>
            <w:r>
              <w:t xml:space="preserve">The scorecard and Kraljic matrix already group suppliers in ways a reader can explain</w:t>
            </w:r>
          </w:p>
        </w:tc>
      </w:tr>
      <w:tr>
        <w:tc>
          <w:tcPr>
            <w:tcW w:w="4440" w:type="dxa"/>
          </w:tcPr>
          <w:p>
            <w:pPr/>
            <w:r>
              <w:t xml:space="preserve">Linear programming optimization</w:t>
            </w:r>
          </w:p>
        </w:tc>
        <w:tc>
          <w:tcPr>
            <w:tcW w:w="4920" w:type="dxa"/>
          </w:tcPr>
          <w:p>
            <w:pPr/>
            <w:r>
              <w:t xml:space="preserve">Rules 1–5 already encode the constraints; an optimizer adds complexity, not a different list</w:t>
            </w:r>
          </w:p>
        </w:tc>
      </w:tr>
      <w:tr>
        <w:tc>
          <w:tcPr>
            <w:tcW w:w="4440" w:type="dxa"/>
          </w:tcPr>
          <w:p>
            <w:pPr/>
            <w:r>
              <w:t xml:space="preserve">Monte Carlo simulation</w:t>
            </w:r>
          </w:p>
        </w:tc>
        <w:tc>
          <w:tcPr>
            <w:tcW w:w="4920" w:type="dxa"/>
          </w:tcPr>
          <w:p>
            <w:pPr/>
            <w:r>
              <w:t xml:space="preserve">Three scenarios show the range clearly enough</w:t>
            </w:r>
          </w:p>
        </w:tc>
      </w:tr>
    </w:tbl>
    <w:p>
      <w:pPr/>
      <w:r>
        <w:rPr>
          <w:b/>
        </w:rPr>
        <w:t xml:space="preserve">Data needed:</w:t>
      </w:r>
      <w:r>
        <w:t xml:space="preserve"> five tables (suppliers, spend transactions, categories, scorecards, contracts), generated synthetically and calibrated to J&amp;J's public totals.</w:t>
      </w:r>
    </w:p>
    <w:p>
      <w:pPr>
        <w:pStyle w:val="Heading2"/>
      </w:pPr>
      <w:r>
        <w:t xml:space="preserve">Current state</w:t>
      </w:r>
    </w:p>
    <w:p>
      <w:pPr/>
      <w:r>
        <w:t xml:space="preserve">J&amp;J's supplier count has moved a lot, with the business and with how suppliers are counted:</w:t>
      </w:r>
    </w:p>
    <w:tbl>
      <w:tblPr>
        <w:tblStyle w:val="TableGrid"/>
        <w:tblW w:w="0" w:type="auto"/>
        <w:tblLayout w:type="fixed"/>
        <w:tblLook w:val="04A0" w:firstRow="1" w:lastRow="0" w:firstColumn="0" w:lastColumn="0" w:noHBand="0" w:noVBand="1"/>
      </w:tblPr>
      <w:tblGrid>
        <w:gridCol w:w="2576"/>
        <w:gridCol w:w="1352"/>
        <w:gridCol w:w="5431"/>
      </w:tblGrid>
      <w:tr>
        <w:trPr>
          <w:tblHeader/>
        </w:trPr>
        <w:tc>
          <w:tcPr>
            <w:tcW w:w="2576" w:type="dxa"/>
            <w:shd w:val="clear" w:color="auto" w:fill="F2F2F2"/>
          </w:tcPr>
          <w:p>
            <w:pPr/>
            <w:r>
              <w:t xml:space="preserve">When</w:t>
            </w:r>
          </w:p>
        </w:tc>
        <w:tc>
          <w:tcPr>
            <w:tcW w:w="1352" w:type="dxa"/>
            <w:shd w:val="clear" w:color="auto" w:fill="F2F2F2"/>
          </w:tcPr>
          <w:p>
            <w:pPr/>
            <w:r>
              <w:t xml:space="preserve">Suppliers</w:t>
            </w:r>
          </w:p>
        </w:tc>
        <w:tc>
          <w:tcPr>
            <w:tcW w:w="5431" w:type="dxa"/>
            <w:shd w:val="clear" w:color="auto" w:fill="F2F2F2"/>
          </w:tcPr>
          <w:p>
            <w:pPr/>
            <w:r>
              <w:t xml:space="preserve">Source</w:t>
            </w:r>
          </w:p>
        </w:tc>
      </w:tr>
      <w:tr>
        <w:tc>
          <w:tcPr>
            <w:tcW w:w="2576" w:type="dxa"/>
          </w:tcPr>
          <w:p>
            <w:pPr/>
            <w:r>
              <w:t xml:space="preserve">After 2014 (undated)</w:t>
            </w:r>
          </w:p>
        </w:tc>
        <w:tc>
          <w:tcPr>
            <w:tcW w:w="1352" w:type="dxa"/>
          </w:tcPr>
          <w:p>
            <w:pPr/>
            <w:r>
              <w:t xml:space="preserve">80,000</w:t>
            </w:r>
          </w:p>
        </w:tc>
        <w:tc>
          <w:tcPr>
            <w:tcW w:w="5431" w:type="dxa"/>
          </w:tcPr>
          <w:p>
            <w:pPr/>
            <w:hyperlink r:id="rId3" w:history="1">
              <w:r>
                <w:rPr>
                  <w:rStyle w:val="Hyperlink"/>
                </w:rPr>
                <w:t xml:space="preserve">State of Flux case study</w:t>
              </w:r>
            </w:hyperlink>
          </w:p>
        </w:tc>
      </w:tr>
      <w:tr>
        <w:tc>
          <w:tcPr>
            <w:tcW w:w="2576" w:type="dxa"/>
          </w:tcPr>
          <w:p>
            <w:pPr/>
            <w:r>
              <w:t xml:space="preserve">2021</w:t>
            </w:r>
          </w:p>
        </w:tc>
        <w:tc>
          <w:tcPr>
            <w:tcW w:w="1352" w:type="dxa"/>
          </w:tcPr>
          <w:p>
            <w:pPr/>
            <w:r>
              <w:t xml:space="preserve">78,000+</w:t>
            </w:r>
          </w:p>
        </w:tc>
        <w:tc>
          <w:tcPr>
            <w:tcW w:w="5431" w:type="dxa"/>
          </w:tcPr>
          <w:p>
            <w:pPr/>
            <w:hyperlink r:id="rId4" w:history="1">
              <w:r>
                <w:rPr>
                  <w:rStyle w:val="Hyperlink"/>
                </w:rPr>
                <w:t xml:space="preserve">ArcGIS StoryMap</w:t>
              </w:r>
            </w:hyperlink>
            <w:r>
              <w:t xml:space="preserve"> (individual author, no source given)</w:t>
            </w:r>
          </w:p>
        </w:tc>
      </w:tr>
      <w:tr>
        <w:tc>
          <w:tcPr>
            <w:tcW w:w="2576" w:type="dxa"/>
          </w:tcPr>
          <w:p>
            <w:pPr/>
            <w:r>
              <w:t xml:space="preserve">2023</w:t>
            </w:r>
          </w:p>
        </w:tc>
        <w:tc>
          <w:tcPr>
            <w:tcW w:w="1352" w:type="dxa"/>
          </w:tcPr>
          <w:p>
            <w:pPr/>
            <w:r>
              <w:t xml:space="preserve">38,500+</w:t>
            </w:r>
          </w:p>
        </w:tc>
        <w:tc>
          <w:tcPr>
            <w:tcW w:w="5431" w:type="dxa"/>
          </w:tcPr>
          <w:p>
            <w:pPr/>
            <w:r>
              <w:t xml:space="preserve">2023 Health for Humanity Report; Kenvue separated (IPO May, completed 23 Aug)</w:t>
            </w:r>
          </w:p>
        </w:tc>
      </w:tr>
      <w:tr>
        <w:tc>
          <w:tcPr>
            <w:tcW w:w="2576" w:type="dxa"/>
          </w:tcPr>
          <w:p>
            <w:pPr/>
            <w:r>
              <w:t xml:space="preserve">2024</w:t>
            </w:r>
          </w:p>
        </w:tc>
        <w:tc>
          <w:tcPr>
            <w:tcW w:w="1352" w:type="dxa"/>
          </w:tcPr>
          <w:p>
            <w:pPr/>
            <w:r>
              <w:t xml:space="preserve">29,000+</w:t>
            </w:r>
          </w:p>
        </w:tc>
        <w:tc>
          <w:tcPr>
            <w:tcW w:w="5431" w:type="dxa"/>
          </w:tcPr>
          <w:p>
            <w:pPr/>
            <w:hyperlink r:id="rId5" w:history="1">
              <w:r>
                <w:rPr>
                  <w:rStyle w:val="Hyperlink"/>
                </w:rPr>
                <w:t xml:space="preserve">2024 Health for Humanity Report</w:t>
              </w:r>
            </w:hyperlink>
          </w:p>
        </w:tc>
      </w:tr>
      <w:tr>
        <w:tc>
          <w:tcPr>
            <w:tcW w:w="2576" w:type="dxa"/>
          </w:tcPr>
          <w:p>
            <w:pPr/>
            <w:r>
              <w:t xml:space="preserve">FY2025</w:t>
            </w:r>
          </w:p>
        </w:tc>
        <w:tc>
          <w:tcPr>
            <w:tcW w:w="1352" w:type="dxa"/>
          </w:tcPr>
          <w:p>
            <w:pPr/>
            <w:r>
              <w:t xml:space="preserve">~39,000</w:t>
            </w:r>
          </w:p>
        </w:tc>
        <w:tc>
          <w:tcPr>
            <w:tcW w:w="5431" w:type="dxa"/>
          </w:tcPr>
          <w:p>
            <w:pPr/>
            <w:hyperlink r:id="rId6" w:history="1">
              <w:r>
                <w:rPr>
                  <w:rStyle w:val="Hyperlink"/>
                </w:rPr>
                <w:t xml:space="preserve">Global Modern Slavery Statement 2025</w:t>
              </w:r>
            </w:hyperlink>
            <w:r>
              <w:t xml:space="preserve"> (new counting method)</w:t>
            </w:r>
          </w:p>
        </w:tc>
      </w:tr>
    </w:tbl>
    <w:p>
      <w:pPr/>
      <w:r>
        <w:t xml:space="preserve">This case starts from </w:t>
      </w:r>
      <w:r>
        <w:rPr>
          <w:b/>
        </w:rPr>
        <w:t xml:space="preserve">80,000</w:t>
      </w:r>
      <w:r>
        <w:t xml:space="preserve">. Kenvue publishes no supplier count, so its share is estimated: 15.7% if in line with Consumer Health's share of J&amp;J's 2022 sales ($14,953M of $94,943M), 30% as a high case. That leaves 56,000–67,400 J&amp;J suppliers and a reduction of 30–42% to reach ~39,000.</w:t>
      </w:r>
    </w:p>
    <w:p>
      <w:pPr>
        <w:pStyle w:val="Heading2"/>
      </w:pPr>
      <w:r>
        <w:t xml:space="preserve">The problem</w:t>
      </w:r>
    </w:p>
    <w:p>
      <w:pPr/>
      <w:r>
        <w:t xml:space="preserve">Most of J&amp;J's suppliers carry little spend but full overhead. In a typical Pareto-shaped base, about 85% of suppliers hold under 10% of spend, yet each one still needs onboarding, master data, compliance screening, invoices and payments.</w:t>
      </w:r>
    </w:p>
    <w:p>
      <w:pPr>
        <w:pStyle w:val="ListParagraph"/>
        <w:numPr>
          <w:ilvl w:val="0"/>
          <w:numId w:val="3"/>
        </w:numPr>
      </w:pPr>
      <w:r>
        <w:rPr>
          <w:b/>
        </w:rPr>
        <w:t xml:space="preserve">Lost leverage:</w:t>
      </w:r>
      <w:r>
        <w:t xml:space="preserve"> the same category (lab supplies, MRO, IT services, travel, packaging) is bought from many vendors at many prices.</w:t>
      </w:r>
    </w:p>
    <w:p>
      <w:pPr>
        <w:pStyle w:val="ListParagraph"/>
        <w:numPr>
          <w:ilvl w:val="0"/>
          <w:numId w:val="3"/>
        </w:numPr>
      </w:pPr>
      <w:r>
        <w:rPr>
          <w:b/>
        </w:rPr>
        <w:t xml:space="preserve">Process cost:</w:t>
      </w:r>
      <w:r>
        <w:t xml:space="preserve"> every active supplier costs an estimated ~$2,000 a year to maintain, before any audits.</w:t>
      </w:r>
    </w:p>
    <w:p>
      <w:pPr>
        <w:pStyle w:val="ListParagraph"/>
        <w:numPr>
          <w:ilvl w:val="0"/>
          <w:numId w:val="3"/>
        </w:numPr>
      </w:pPr>
      <w:r>
        <w:rPr>
          <w:b/>
        </w:rPr>
        <w:t xml:space="preserve">Risk blind spots:</w:t>
      </w:r>
      <w:r>
        <w:t xml:space="preserve"> with tens of thousands of suppliers, risk monitoring (financial, ESG, cyber, sanctions) cannot go deep on each one.</w:t>
      </w:r>
    </w:p>
    <w:p>
      <w:pPr>
        <w:pStyle w:val="ListParagraph"/>
        <w:numPr>
          <w:ilvl w:val="0"/>
          <w:numId w:val="3"/>
        </w:numPr>
      </w:pPr>
      <w:r>
        <w:rPr>
          <w:b/>
        </w:rPr>
        <w:t xml:space="preserve">Compliance exposure:</w:t>
      </w:r>
      <w:r>
        <w:t xml:space="preserve"> more suppliers means more third-party due diligence under anti-bribery and supply chain due-diligence rules.</w:t>
      </w:r>
    </w:p>
    <w:p>
      <w:pPr/>
      <w:r>
        <w:t xml:space="preserve">The opportunity is not to squeeze strategic suppliers; it is to consolidate the long tail and the duplicated mid-tier.</w:t>
      </w:r>
    </w:p>
    <w:p>
      <w:pPr>
        <w:pStyle w:val="Heading2"/>
      </w:pPr>
      <w:r>
        <w:t xml:space="preserve">Proposed approach</w:t>
      </w:r>
    </w:p>
    <w:p>
      <w:pPr/>
      <w:r>
        <w:t xml:space="preserve">Count one year of active suppliers (the basis of J&amp;J's reported counts) and sort the reductions into three tiers, from easiest to hardest to defend. Same savings rates in every tier:</w:t>
      </w:r>
    </w:p>
    <w:tbl>
      <w:tblPr>
        <w:tblStyle w:val="TableGrid"/>
        <w:tblW w:w="0" w:type="auto"/>
        <w:tblLayout w:type="fixed"/>
        <w:tblLook w:val="04A0" w:firstRow="1" w:lastRow="0" w:firstColumn="0" w:lastColumn="0" w:noHBand="0" w:noVBand="1"/>
      </w:tblPr>
      <w:tblGrid>
        <w:gridCol w:w="1754"/>
        <w:gridCol w:w="2882"/>
        <w:gridCol w:w="1237"/>
        <w:gridCol w:w="1780"/>
        <w:gridCol w:w="1707"/>
      </w:tblGrid>
      <w:tr>
        <w:trPr>
          <w:tblHeader/>
        </w:trPr>
        <w:tc>
          <w:tcPr>
            <w:tcW w:w="1754" w:type="dxa"/>
            <w:shd w:val="clear" w:color="auto" w:fill="F2F2F2"/>
          </w:tcPr>
          <w:p>
            <w:pPr/>
            <w:r>
              <w:t xml:space="preserve">Tier</w:t>
            </w:r>
          </w:p>
        </w:tc>
        <w:tc>
          <w:tcPr>
            <w:tcW w:w="2882" w:type="dxa"/>
            <w:shd w:val="clear" w:color="auto" w:fill="F2F2F2"/>
          </w:tcPr>
          <w:p>
            <w:pPr/>
            <w:r>
              <w:t xml:space="preserve">What changes</w:t>
            </w:r>
          </w:p>
        </w:tc>
        <w:tc>
          <w:tcPr>
            <w:tcW w:w="1237" w:type="dxa"/>
            <w:shd w:val="clear" w:color="auto" w:fill="F2F2F2"/>
          </w:tcPr>
          <w:p>
            <w:pPr/>
            <w:r>
              <w:t xml:space="preserve">Suppliers cut (of 80,000)</w:t>
            </w:r>
          </w:p>
        </w:tc>
        <w:tc>
          <w:tcPr>
            <w:tcW w:w="1780" w:type="dxa"/>
            <w:shd w:val="clear" w:color="auto" w:fill="F2F2F2"/>
          </w:tcPr>
          <w:p>
            <w:pPr/>
            <w:r>
              <w:t xml:space="preserve">Savings a year</w:t>
            </w:r>
          </w:p>
        </w:tc>
        <w:tc>
          <w:tcPr>
            <w:tcW w:w="1707" w:type="dxa"/>
            <w:shd w:val="clear" w:color="auto" w:fill="F2F2F2"/>
          </w:tcPr>
          <w:p>
            <w:pPr/>
            <w:r>
              <w:t xml:space="preserve">One-time cost</w:t>
            </w:r>
          </w:p>
        </w:tc>
      </w:tr>
      <w:tr>
        <w:tc>
          <w:tcPr>
            <w:tcW w:w="1754" w:type="dxa"/>
          </w:tcPr>
          <w:p>
            <w:pPr/>
            <w:r>
              <w:rPr>
                <w:b/>
              </w:rPr>
              <w:t xml:space="preserve">Conservative (recommended first)</w:t>
            </w:r>
          </w:p>
        </w:tc>
        <w:tc>
          <w:tcPr>
            <w:tcW w:w="2882" w:type="dxa"/>
          </w:tcPr>
          <w:p>
            <w:pPr/>
            <w:r>
              <w:t xml:space="preserve">Merge duplicate records; move one-time vendors to catalogs</w:t>
            </w:r>
          </w:p>
        </w:tc>
        <w:tc>
          <w:tcPr>
            <w:tcW w:w="1237" w:type="dxa"/>
          </w:tcPr>
          <w:p>
            <w:pPr/>
            <w:r>
              <w:rPr>
                <w:b/>
              </w:rPr>
              <w:t xml:space="preserve">21,800 (−27%)</w:t>
            </w:r>
          </w:p>
        </w:tc>
        <w:tc>
          <w:tcPr>
            <w:tcW w:w="1780" w:type="dxa"/>
          </w:tcPr>
          <w:p>
            <w:pPr/>
            <w:r>
              <w:rPr>
                <w:b/>
              </w:rPr>
              <w:t xml:space="preserve">$356M</w:t>
            </w:r>
          </w:p>
        </w:tc>
        <w:tc>
          <w:tcPr>
            <w:tcW w:w="1707" w:type="dxa"/>
          </w:tcPr>
          <w:p>
            <w:pPr/>
            <w:r>
              <w:rPr>
                <w:b/>
              </w:rPr>
              <w:t xml:space="preserve">$34M</w:t>
            </w:r>
          </w:p>
        </w:tc>
      </w:tr>
      <w:tr>
        <w:tc>
          <w:tcPr>
            <w:tcW w:w="1754" w:type="dxa"/>
          </w:tcPr>
          <w:p>
            <w:pPr/>
            <w:r>
              <w:t xml:space="preserve">Base</w:t>
            </w:r>
          </w:p>
        </w:tc>
        <w:tc>
          <w:tcPr>
            <w:tcW w:w="2882" w:type="dxa"/>
          </w:tcPr>
          <w:p>
            <w:pPr/>
            <w:r>
              <w:t xml:space="preserve">+ consolidate within Leverage and Non-critical categories</w:t>
            </w:r>
          </w:p>
        </w:tc>
        <w:tc>
          <w:tcPr>
            <w:tcW w:w="1237" w:type="dxa"/>
          </w:tcPr>
          <w:p>
            <w:pPr/>
            <w:r>
              <w:t xml:space="preserve">35,500 (−44%)</w:t>
            </w:r>
          </w:p>
        </w:tc>
        <w:tc>
          <w:tcPr>
            <w:tcW w:w="1780" w:type="dxa"/>
          </w:tcPr>
          <w:p>
            <w:pPr/>
            <w:r>
              <w:t xml:space="preserve">$414M</w:t>
            </w:r>
          </w:p>
        </w:tc>
        <w:tc>
          <w:tcPr>
            <w:tcW w:w="1707" w:type="dxa"/>
          </w:tcPr>
          <w:p>
            <w:pPr/>
            <w:r>
              <w:t xml:space="preserve">$73M</w:t>
            </w:r>
          </w:p>
        </w:tc>
      </w:tr>
      <w:tr>
        <w:tc>
          <w:tcPr>
            <w:tcW w:w="1754" w:type="dxa"/>
          </w:tcPr>
          <w:p>
            <w:pPr/>
            <w:r>
              <w:t xml:space="preserve">Aggressive</w:t>
            </w:r>
          </w:p>
        </w:tc>
        <w:tc>
          <w:tcPr>
            <w:tcW w:w="2882" w:type="dxa"/>
          </w:tcPr>
          <w:p>
            <w:pPr/>
            <w:r>
              <w:t xml:space="preserve">+ consolidate in Strategic and Bottleneck categories</w:t>
            </w:r>
          </w:p>
        </w:tc>
        <w:tc>
          <w:tcPr>
            <w:tcW w:w="1237" w:type="dxa"/>
          </w:tcPr>
          <w:p>
            <w:pPr/>
            <w:r>
              <w:t xml:space="preserve">41,700 (−52%)</w:t>
            </w:r>
          </w:p>
        </w:tc>
        <w:tc>
          <w:tcPr>
            <w:tcW w:w="1780" w:type="dxa"/>
          </w:tcPr>
          <w:p>
            <w:pPr/>
            <w:r>
              <w:t xml:space="preserve">$427M</w:t>
            </w:r>
          </w:p>
        </w:tc>
        <w:tc>
          <w:tcPr>
            <w:tcW w:w="1707" w:type="dxa"/>
          </w:tcPr>
          <w:p>
            <w:pPr/>
            <w:r>
              <w:t xml:space="preserve">$91M</w:t>
            </w:r>
          </w:p>
        </w:tc>
      </w:tr>
    </w:tbl>
    <w:p>
      <w:pPr/>
      <w:r>
        <w:rPr>
          <w:b/>
        </w:rPr>
        <w:t xml:space="preserve">Rationalization rules</w:t>
      </w:r>
      <w:r>
        <w:t xml:space="preserve"> (applied supplier by supplier in the data phase):</w:t>
      </w:r>
    </w:p>
    <w:p>
      <w:pPr>
        <w:pStyle w:val="ListParagraph"/>
        <w:numPr>
          <w:ilvl w:val="0"/>
          <w:numId w:val="4"/>
        </w:numPr>
      </w:pPr>
      <w:r>
        <w:rPr>
          <w:b/>
        </w:rPr>
        <w:t xml:space="preserve">Never exit a regulated sole source</w:t>
      </w:r>
      <w:r>
        <w:t xml:space="preserve"> (FDA-validated API, excipient, component or contract manufacturer) without a qualified alternative and a requalification plan.</w:t>
      </w:r>
    </w:p>
    <w:p>
      <w:pPr>
        <w:pStyle w:val="ListParagraph"/>
        <w:numPr>
          <w:ilvl w:val="0"/>
          <w:numId w:val="4"/>
        </w:numPr>
      </w:pPr>
      <w:r>
        <w:rPr>
          <w:b/>
        </w:rPr>
        <w:t xml:space="preserve">Keep at least two qualified sources</w:t>
      </w:r>
      <w:r>
        <w:t xml:space="preserve"> for anything patient-critical.</w:t>
      </w:r>
    </w:p>
    <w:p>
      <w:pPr>
        <w:pStyle w:val="ListParagraph"/>
        <w:numPr>
          <w:ilvl w:val="0"/>
          <w:numId w:val="4"/>
        </w:numPr>
      </w:pPr>
      <w:r>
        <w:rPr>
          <w:b/>
        </w:rPr>
        <w:t xml:space="preserve">Protect diverse and small suppliers:</w:t>
      </w:r>
      <w:r>
        <w:t xml:space="preserve"> they are consolidated into preferred-supplier and Tier 2 programs, not dropped, so Tier 1 diverse spend stays at or above $3B.</w:t>
      </w:r>
    </w:p>
    <w:p>
      <w:pPr>
        <w:pStyle w:val="ListParagraph"/>
        <w:numPr>
          <w:ilvl w:val="0"/>
          <w:numId w:val="4"/>
        </w:numPr>
      </w:pPr>
      <w:r>
        <w:rPr>
          <w:b/>
        </w:rPr>
        <w:t xml:space="preserve">Exit first</w:t>
      </w:r>
      <w:r>
        <w:t xml:space="preserve"> where a supplier is inactive (no PO in 18 months), duplicated (same category, same site, lower score) or below a minimum spend threshold.</w:t>
      </w:r>
    </w:p>
    <w:p>
      <w:pPr>
        <w:pStyle w:val="ListParagraph"/>
        <w:numPr>
          <w:ilvl w:val="0"/>
          <w:numId w:val="4"/>
        </w:numPr>
      </w:pPr>
      <w:r>
        <w:rPr>
          <w:b/>
        </w:rPr>
        <w:t xml:space="preserve">Score the rest</w:t>
      </w:r>
      <w:r>
        <w:t xml:space="preserve"> on cost, quality, delivery, risk, ESG and diversity; the lowest-scoring supplier in a category exits first.</w:t>
      </w:r>
    </w:p>
    <w:p>
      <w:pPr>
        <w:pStyle w:val="Heading2"/>
      </w:pPr>
      <w:r>
        <w:t xml:space="preserve">What the real data shows</w:t>
      </w:r>
    </w:p>
    <w:p>
      <w:pPr/>
      <w:r>
        <w:t xml:space="preserve">The approach was tested on 344,504 real State of California purchase lines (FY2012–15). After removing pass-through and procurement-exempt spend, 278,632 lines remain: </w:t>
      </w:r>
      <w:r>
        <w:rPr>
          <w:b/>
        </w:rPr>
        <w:t xml:space="preserve">$21.9B over 3 years across 16,933 suppliers</w:t>
      </w:r>
      <w:r>
        <w:t xml:space="preserve">. Every assumption above held or was corrected.</w:t>
      </w:r>
    </w:p>
    <w:tbl>
      <w:tblPr>
        <w:tblStyle w:val="TableGrid"/>
        <w:tblW w:w="0" w:type="auto"/>
        <w:tblLayout w:type="fixed"/>
        <w:tblLook w:val="04A0" w:firstRow="1" w:lastRow="0" w:firstColumn="0" w:lastColumn="0" w:noHBand="0" w:noVBand="1"/>
      </w:tblPr>
      <w:tblGrid>
        <w:gridCol w:w="1344"/>
        <w:gridCol w:w="1558"/>
        <w:gridCol w:w="4730"/>
        <w:gridCol w:w="1728"/>
      </w:tblGrid>
      <w:tr>
        <w:trPr>
          <w:tblHeader/>
        </w:trPr>
        <w:tc>
          <w:tcPr>
            <w:tcW w:w="1344" w:type="dxa"/>
            <w:shd w:val="clear" w:color="auto" w:fill="F2F2F2"/>
          </w:tcPr>
          <w:p>
            <w:pPr/>
            <w:r>
              <w:t xml:space="preserve">Step</w:t>
            </w:r>
          </w:p>
        </w:tc>
        <w:tc>
          <w:tcPr>
            <w:tcW w:w="1558" w:type="dxa"/>
            <w:shd w:val="clear" w:color="auto" w:fill="F2F2F2"/>
          </w:tcPr>
          <w:p>
            <w:pPr/>
            <w:r>
              <w:t xml:space="preserve">Question</w:t>
            </w:r>
          </w:p>
        </w:tc>
        <w:tc>
          <w:tcPr>
            <w:tcW w:w="4730" w:type="dxa"/>
            <w:shd w:val="clear" w:color="auto" w:fill="F2F2F2"/>
          </w:tcPr>
          <w:p>
            <w:pPr/>
            <w:r>
              <w:t xml:space="preserve">Result on real data</w:t>
            </w:r>
          </w:p>
        </w:tc>
        <w:tc>
          <w:tcPr>
            <w:tcW w:w="1728" w:type="dxa"/>
            <w:shd w:val="clear" w:color="auto" w:fill="F2F2F2"/>
          </w:tcPr>
          <w:p>
            <w:pPr/>
            <w:r>
              <w:t xml:space="preserve">vs. assumption</w:t>
            </w:r>
          </w:p>
        </w:tc>
      </w:tr>
      <w:tr>
        <w:tc>
          <w:tcPr>
            <w:tcW w:w="1344" w:type="dxa"/>
          </w:tcPr>
          <w:p>
            <w:pPr/>
            <w:r>
              <w:t xml:space="preserve">2 Pareto / ABC (SQL)</w:t>
            </w:r>
          </w:p>
        </w:tc>
        <w:tc>
          <w:tcPr>
            <w:tcW w:w="1558" w:type="dxa"/>
          </w:tcPr>
          <w:p>
            <w:pPr/>
            <w:r>
              <w:t xml:space="preserve">Where does the spend sit?</w:t>
            </w:r>
          </w:p>
        </w:tc>
        <w:tc>
          <w:tcPr>
            <w:tcW w:w="4730" w:type="dxa"/>
          </w:tcPr>
          <w:p>
            <w:pPr/>
            <w:r>
              <w:t xml:space="preserve">Top 1.9% of suppliers = 70% of spend; top 10.7% = 92%</w:t>
            </w:r>
          </w:p>
        </w:tc>
        <w:tc>
          <w:tcPr>
            <w:tcW w:w="1728" w:type="dxa"/>
          </w:tcPr>
          <w:p>
            <w:pPr/>
            <w:r>
              <w:t xml:space="preserve">Assumed 2% / 15%: </w:t>
            </w:r>
            <w:r>
              <w:rPr>
                <w:b/>
              </w:rPr>
              <w:t xml:space="preserve">holds</w:t>
            </w:r>
          </w:p>
        </w:tc>
      </w:tr>
      <w:tr>
        <w:tc>
          <w:tcPr>
            <w:tcW w:w="1344" w:type="dxa"/>
          </w:tcPr>
          <w:p>
            <w:pPr/>
            <w:r>
              <w:t xml:space="preserve">2 Spend cube</w:t>
            </w:r>
          </w:p>
        </w:tc>
        <w:tc>
          <w:tcPr>
            <w:tcW w:w="1558" w:type="dxa"/>
          </w:tcPr>
          <w:p>
            <w:pPr/>
            <w:r>
              <w:t xml:space="preserve">How much of the tail is dead weight?</w:t>
            </w:r>
          </w:p>
        </w:tc>
        <w:tc>
          <w:tcPr>
            <w:tcW w:w="4730" w:type="dxa"/>
          </w:tcPr>
          <w:p>
            <w:pPr/>
            <w:r>
              <w:t xml:space="preserve">59% of tail suppliers are inactive 18+ months or one-time vendors</w:t>
            </w:r>
          </w:p>
        </w:tc>
        <w:tc>
          <w:tcPr>
            <w:tcW w:w="1728" w:type="dxa"/>
          </w:tcPr>
          <w:p>
            <w:pPr/>
            <w:r>
              <w:t xml:space="preserve">Assumed 60% tail cut: </w:t>
            </w:r>
            <w:r>
              <w:rPr>
                <w:b/>
              </w:rPr>
              <w:t xml:space="preserve">holds</w:t>
            </w:r>
          </w:p>
        </w:tc>
      </w:tr>
      <w:tr>
        <w:tc>
          <w:tcPr>
            <w:tcW w:w="1344" w:type="dxa"/>
          </w:tcPr>
          <w:p>
            <w:pPr/>
            <w:r>
              <w:t xml:space="preserve">3 Kraljic</w:t>
            </w:r>
          </w:p>
        </w:tc>
        <w:tc>
          <w:tcPr>
            <w:tcW w:w="1558" w:type="dxa"/>
          </w:tcPr>
          <w:p>
            <w:pPr/>
            <w:r>
              <w:t xml:space="preserve">How should each category be handled?</w:t>
            </w:r>
          </w:p>
        </w:tc>
        <w:tc>
          <w:tcPr>
            <w:tcW w:w="4730" w:type="dxa"/>
          </w:tcPr>
          <w:p>
            <w:pPr/>
            <w:r>
              <w:t xml:space="preserve">Leverage 59% of spend (20 categories); strategic 21%; bottleneck 13%; non-critical 7% but 21,991 supplier relationships</w:t>
            </w:r>
          </w:p>
        </w:tc>
        <w:tc>
          <w:tcPr>
            <w:tcW w:w="1728" w:type="dxa"/>
          </w:tcPr>
          <w:p>
            <w:pPr/>
            <w:r>
              <w:t xml:space="preserve">Sets the agreement type per category</w:t>
            </w:r>
          </w:p>
        </w:tc>
      </w:tr>
      <w:tr>
        <w:tc>
          <w:tcPr>
            <w:tcW w:w="1344" w:type="dxa"/>
          </w:tcPr>
          <w:p>
            <w:pPr/>
            <w:r>
              <w:t xml:space="preserve">4 Duplicates (ML) + rules</w:t>
            </w:r>
          </w:p>
        </w:tc>
        <w:tc>
          <w:tcPr>
            <w:tcW w:w="1558" w:type="dxa"/>
          </w:tcPr>
          <w:p>
            <w:pPr/>
            <w:r>
              <w:t xml:space="preserve">Which suppliers stay?</w:t>
            </w:r>
          </w:p>
        </w:tc>
        <w:tc>
          <w:tcPr>
            <w:tcW w:w="4730" w:type="dxa"/>
          </w:tcPr>
          <w:p>
            <w:pPr/>
            <w:r>
              <w:t xml:space="preserve">858 duplicate records found (TF-IDF name matching); 4,649 of 16,933 supplier records kept over three years. On one year of active suppliers (8,226): −27% conservative, −44% base, −52% aggressive</w:t>
            </w:r>
          </w:p>
        </w:tc>
        <w:tc>
          <w:tcPr>
            <w:tcW w:w="1728" w:type="dxa"/>
          </w:tcPr>
          <w:p>
            <w:pPr/>
            <w:r>
              <w:t xml:space="preserve">Assumed −54%: real −59% of active base</w:t>
            </w:r>
          </w:p>
        </w:tc>
      </w:tr>
      <w:tr>
        <w:tc>
          <w:tcPr>
            <w:tcW w:w="1344" w:type="dxa"/>
          </w:tcPr>
          <w:p>
            <w:pPr/>
            <w:r>
              <w:t xml:space="preserve">5 Price-gap test</w:t>
            </w:r>
          </w:p>
        </w:tc>
        <w:tc>
          <w:tcPr>
            <w:tcW w:w="1558" w:type="dxa"/>
          </w:tcPr>
          <w:p>
            <w:pPr/>
            <w:r>
              <w:t xml:space="preserve">Do exiting suppliers charge more?</w:t>
            </w:r>
          </w:p>
        </w:tc>
        <w:tc>
          <w:tcPr>
            <w:tcW w:w="4730" w:type="dxa"/>
          </w:tcPr>
          <w:p>
            <w:pPr/>
            <w:r>
              <w:t xml:space="preserve">Same goods item: +9.8% in leverage, +5.2% in non-critical, but </w:t>
            </w:r>
            <w:r>
              <w:rPr>
                <w:b/>
              </w:rPr>
              <w:t xml:space="preserve">−10% in bottleneck</w:t>
            </w:r>
            <w:r>
              <w:t xml:space="preserve"> and −7% in strategic</w:t>
            </w:r>
          </w:p>
        </w:tc>
        <w:tc>
          <w:tcPr>
            <w:tcW w:w="1728" w:type="dxa"/>
          </w:tcPr>
          <w:p>
            <w:pPr/>
            <w:r>
              <w:t xml:space="preserve">Assumed 5–8% everywhere: </w:t>
            </w:r>
            <w:r>
              <w:rPr>
                <w:b/>
              </w:rPr>
              <w:t xml:space="preserve">corrected</w:t>
            </w:r>
          </w:p>
        </w:tc>
      </w:tr>
    </w:tbl>
    <w:p>
      <w:pPr/>
      <w:r>
        <w:rPr>
          <w:b/>
        </w:rPr>
        <w:t xml:space="preserve">The key correction:</w:t>
      </w:r>
      <w:r>
        <w:t xml:space="preserve"> consolidation only saves money in leverage and non-critical categories. In bottleneck and strategic categories the small suppliers were cheaper, so the plan secures supply there instead of squeezing price.</w:t>
      </w:r>
    </w:p>
    <w:p>
      <w:pPr>
        <w:pStyle w:val="Heading2"/>
      </w:pPr>
      <w:r>
        <w:t xml:space="preserve">Real J&amp;J strategic suppliers</w:t>
      </w:r>
    </w:p>
    <w:p>
      <w:pPr/>
      <w:r>
        <w:t xml:space="preserve">Read from the suppliers' own SEC 10-K filings:</w:t>
      </w:r>
    </w:p>
    <w:tbl>
      <w:tblPr>
        <w:tblStyle w:val="TableGrid"/>
        <w:tblW w:w="0" w:type="auto"/>
        <w:tblLayout w:type="fixed"/>
        <w:tblLook w:val="04A0" w:firstRow="1" w:lastRow="0" w:firstColumn="0" w:lastColumn="0" w:noHBand="0" w:noVBand="1"/>
      </w:tblPr>
      <w:tblGrid>
        <w:gridCol w:w="1581"/>
        <w:gridCol w:w="4361"/>
        <w:gridCol w:w="3418"/>
      </w:tblGrid>
      <w:tr>
        <w:trPr>
          <w:tblHeader/>
        </w:trPr>
        <w:tc>
          <w:tcPr>
            <w:tcW w:w="1581" w:type="dxa"/>
            <w:shd w:val="clear" w:color="auto" w:fill="F2F2F2"/>
          </w:tcPr>
          <w:p>
            <w:pPr/>
            <w:r>
              <w:t xml:space="preserve">Supplier</w:t>
            </w:r>
          </w:p>
        </w:tc>
        <w:tc>
          <w:tcPr>
            <w:tcW w:w="4361" w:type="dxa"/>
            <w:shd w:val="clear" w:color="auto" w:fill="F2F2F2"/>
          </w:tcPr>
          <w:p>
            <w:pPr/>
            <w:r>
              <w:t xml:space="preserve">Supplies J&amp;J with</w:t>
            </w:r>
          </w:p>
        </w:tc>
        <w:tc>
          <w:tcPr>
            <w:tcW w:w="3418" w:type="dxa"/>
            <w:shd w:val="clear" w:color="auto" w:fill="F2F2F2"/>
          </w:tcPr>
          <w:p>
            <w:pPr/>
            <w:r>
              <w:t xml:space="preserve">Lesson</w:t>
            </w:r>
          </w:p>
        </w:tc>
      </w:tr>
      <w:tr>
        <w:tc>
          <w:tcPr>
            <w:tcW w:w="1581" w:type="dxa"/>
          </w:tcPr>
          <w:p>
            <w:pPr/>
            <w:r>
              <w:t xml:space="preserve">Alkermes</w:t>
            </w:r>
          </w:p>
        </w:tc>
        <w:tc>
          <w:tcPr>
            <w:tcW w:w="4361" w:type="dxa"/>
          </w:tcPr>
          <w:p>
            <w:pPr/>
            <w:r>
              <w:t xml:space="preserve">Sole manufacturer of RISPERDAL CONSTA (Ohio plant)</w:t>
            </w:r>
          </w:p>
        </w:tc>
        <w:tc>
          <w:tcPr>
            <w:tcW w:w="3418" w:type="dxa"/>
          </w:tcPr>
          <w:p>
            <w:pPr/>
            <w:r>
              <w:t xml:space="preserve">Sole-source, regulated: never cut; partnership MOU + supply and quality agreements</w:t>
            </w:r>
          </w:p>
        </w:tc>
      </w:tr>
      <w:tr>
        <w:tc>
          <w:tcPr>
            <w:tcW w:w="1581" w:type="dxa"/>
          </w:tcPr>
          <w:p>
            <w:pPr/>
            <w:r>
              <w:t xml:space="preserve">MeiraGTx</w:t>
            </w:r>
          </w:p>
        </w:tc>
        <w:tc>
          <w:tcPr>
            <w:tcW w:w="4361" w:type="dxa"/>
          </w:tcPr>
          <w:p>
            <w:pPr/>
            <w:r>
              <w:t xml:space="preserve">RPGR gene therapy, 4+1-year supply agreement (Dec 2023)</w:t>
            </w:r>
          </w:p>
        </w:tc>
        <w:tc>
          <w:tcPr>
            <w:tcW w:w="3418" w:type="dxa"/>
          </w:tcPr>
          <w:p>
            <w:pPr/>
            <w:r>
              <w:t xml:space="preserve">Long-term supply agreement, not a tender</w:t>
            </w:r>
          </w:p>
        </w:tc>
      </w:tr>
      <w:tr>
        <w:tc>
          <w:tcPr>
            <w:tcW w:w="1581" w:type="dxa"/>
          </w:tcPr>
          <w:p>
            <w:pPr/>
            <w:r>
              <w:t xml:space="preserve">Mersana</w:t>
            </w:r>
          </w:p>
        </w:tc>
        <w:tc>
          <w:tcPr>
            <w:tcW w:w="4361" w:type="dxa"/>
          </w:tcPr>
          <w:p>
            <w:pPr/>
            <w:r>
              <w:t xml:space="preserve">Clinical ADC manufacturing, with a technology-transfer right for J&amp;J</w:t>
            </w:r>
          </w:p>
        </w:tc>
        <w:tc>
          <w:tcPr>
            <w:tcW w:w="3418" w:type="dxa"/>
          </w:tcPr>
          <w:p>
            <w:pPr/>
            <w:r>
              <w:t xml:space="preserve">A second-source path written into the contract</w:t>
            </w:r>
          </w:p>
        </w:tc>
      </w:tr>
      <w:tr>
        <w:tc>
          <w:tcPr>
            <w:tcW w:w="1581" w:type="dxa"/>
          </w:tcPr>
          <w:p>
            <w:pPr/>
            <w:r>
              <w:t xml:space="preserve">Emergent BioSolutions (former)</w:t>
            </w:r>
          </w:p>
        </w:tc>
        <w:tc>
          <w:tcPr>
            <w:tcW w:w="4361" w:type="dxa"/>
          </w:tcPr>
          <w:p>
            <w:pPr/>
            <w:r>
              <w:t xml:space="preserve">COVID-19 vaccine drug substance; J&amp;J ended it in 2022 over GMP breaches, settled for $50M in 2024</w:t>
            </w:r>
          </w:p>
        </w:tc>
        <w:tc>
          <w:tcPr>
            <w:tcW w:w="3418" w:type="dxa"/>
          </w:tcPr>
          <w:p>
            <w:pPr/>
            <w:r>
              <w:t xml:space="preserve">Why a qualified second source is a rule, not an option</w:t>
            </w:r>
          </w:p>
        </w:tc>
      </w:tr>
    </w:tbl>
    <w:p>
      <w:pPr>
        <w:pStyle w:val="Heading2"/>
      </w:pPr>
      <w:r>
        <w:t xml:space="preserve">Small cut, big impact</w:t>
      </w:r>
    </w:p>
    <w:p>
      <w:pPr/>
      <w:r>
        <w:t xml:space="preserve">The savings depend little on how many suppliers are cut. The conservative tier keeps 86% of the base-case value with 61% of the cuts, because most of the value is the re-tender of suppliers J&amp;J keeps: 152 of the 1,649 kept Leverage suppliers hold 80% of that spend. Negotiating with about 150 large suppliers is worth more than cutting thousands of small ones.</w:t>
      </w:r>
    </w:p>
    <w:p>
      <w:pPr>
        <w:pStyle w:val="Heading2"/>
      </w:pPr>
      <w:r>
        <w:t xml:space="preserve">Phase 2: going further from ~39,000</w:t>
      </w:r>
    </w:p>
    <w:p>
      <w:pPr/>
      <w:r>
        <w:t xml:space="preserve">Once the easy cuts are made, most remaining suppliers are legitimate, so a different model is needed: a target count per category. Keep the fewest suppliers covering 90% of the category's spend, with at least two in Strategic and Bottleneck categories, and always keep strategic, sole-source and small/diverse suppliers.</w:t>
      </w:r>
    </w:p>
    <w:tbl>
      <w:tblPr>
        <w:tblStyle w:val="TableGrid"/>
        <w:tblW w:w="0" w:type="auto"/>
        <w:tblLayout w:type="fixed"/>
        <w:tblLook w:val="04A0" w:firstRow="1" w:lastRow="0" w:firstColumn="0" w:lastColumn="0" w:noHBand="0" w:noVBand="1"/>
      </w:tblPr>
      <w:tblGrid>
        <w:gridCol w:w="4405"/>
        <w:gridCol w:w="2201"/>
        <w:gridCol w:w="2752"/>
      </w:tblGrid>
      <w:tr>
        <w:trPr>
          <w:tblHeader/>
        </w:trPr>
        <w:tc>
          <w:tcPr>
            <w:tcW w:w="4405" w:type="dxa"/>
            <w:shd w:val="clear" w:color="auto" w:fill="F2F2F2"/>
          </w:tcPr>
          <w:p>
            <w:pPr/>
            <w:r>
              <w:t xml:space="preserve">Spend coverage target</w:t>
            </w:r>
          </w:p>
        </w:tc>
        <w:tc>
          <w:tcPr>
            <w:tcW w:w="2201" w:type="dxa"/>
            <w:shd w:val="clear" w:color="auto" w:fill="F2F2F2"/>
          </w:tcPr>
          <w:p>
            <w:pPr/>
            <w:r>
              <w:t xml:space="preserve">Reduction</w:t>
            </w:r>
          </w:p>
        </w:tc>
        <w:tc>
          <w:tcPr>
            <w:tcW w:w="2752" w:type="dxa"/>
            <w:shd w:val="clear" w:color="auto" w:fill="F2F2F2"/>
          </w:tcPr>
          <w:p>
            <w:pPr/>
            <w:r>
              <w:t xml:space="preserve">J&amp;J suppliers</w:t>
            </w:r>
          </w:p>
        </w:tc>
      </w:tr>
      <w:tr>
        <w:tc>
          <w:tcPr>
            <w:tcW w:w="4405" w:type="dxa"/>
          </w:tcPr>
          <w:p>
            <w:pPr/>
            <w:r>
              <w:t xml:space="preserve">80%</w:t>
            </w:r>
          </w:p>
        </w:tc>
        <w:tc>
          <w:tcPr>
            <w:tcW w:w="2201" w:type="dxa"/>
          </w:tcPr>
          <w:p>
            <w:pPr/>
            <w:r>
              <w:t xml:space="preserve">−22%</w:t>
            </w:r>
          </w:p>
        </w:tc>
        <w:tc>
          <w:tcPr>
            <w:tcW w:w="2752" w:type="dxa"/>
          </w:tcPr>
          <w:p>
            <w:pPr/>
            <w:r>
              <w:t xml:space="preserve">~30,500</w:t>
            </w:r>
          </w:p>
        </w:tc>
      </w:tr>
      <w:tr>
        <w:tc>
          <w:tcPr>
            <w:tcW w:w="4405" w:type="dxa"/>
          </w:tcPr>
          <w:p>
            <w:pPr/>
            <w:r>
              <w:rPr>
                <w:b/>
              </w:rPr>
              <w:t xml:space="preserve">90% (recommended)</w:t>
            </w:r>
          </w:p>
        </w:tc>
        <w:tc>
          <w:tcPr>
            <w:tcW w:w="2201" w:type="dxa"/>
          </w:tcPr>
          <w:p>
            <w:pPr/>
            <w:r>
              <w:rPr>
                <w:b/>
              </w:rPr>
              <w:t xml:space="preserve">−18%</w:t>
            </w:r>
          </w:p>
        </w:tc>
        <w:tc>
          <w:tcPr>
            <w:tcW w:w="2752" w:type="dxa"/>
          </w:tcPr>
          <w:p>
            <w:pPr/>
            <w:r>
              <w:rPr>
                <w:b/>
              </w:rPr>
              <w:t xml:space="preserve">~32,100</w:t>
            </w:r>
          </w:p>
        </w:tc>
      </w:tr>
      <w:tr>
        <w:tc>
          <w:tcPr>
            <w:tcW w:w="4405" w:type="dxa"/>
          </w:tcPr>
          <w:p>
            <w:pPr/>
            <w:r>
              <w:t xml:space="preserve">95%</w:t>
            </w:r>
          </w:p>
        </w:tc>
        <w:tc>
          <w:tcPr>
            <w:tcW w:w="2201" w:type="dxa"/>
          </w:tcPr>
          <w:p>
            <w:pPr/>
            <w:r>
              <w:t xml:space="preserve">−14%</w:t>
            </w:r>
          </w:p>
        </w:tc>
        <w:tc>
          <w:tcPr>
            <w:tcW w:w="2752" w:type="dxa"/>
          </w:tcPr>
          <w:p>
            <w:pPr/>
            <w:r>
              <w:t xml:space="preserve">~33,700</w:t>
            </w:r>
          </w:p>
        </w:tc>
      </w:tr>
    </w:tbl>
    <w:p>
      <w:pPr/>
      <w:r>
        <w:t xml:space="preserve">Only 1.5% of the year's spend changes supplier, and the number of categories dominated by one supplier does not change. Phase 2 saves about $14M a year in supplier management, not big price savings.</w:t>
      </w:r>
    </w:p>
    <w:p>
      <w:pPr>
        <w:pStyle w:val="Heading2"/>
      </w:pPr>
      <w:r>
        <w:t xml:space="preserve">Financial case</w:t>
      </w:r>
    </w:p>
    <w:p>
      <w:pPr/>
      <w:r>
        <w:rPr>
          <w:b/>
        </w:rPr>
        <w:t xml:space="preserve">Original top-down estimate</w:t>
      </w:r>
      <w:r>
        <w:t xml:space="preserve"> (before the real data): $385M a year at full run-rate against $59M one-time cost. The real-data model below replaces it.</w:t>
      </w:r>
    </w:p>
    <w:p>
      <w:pPr/>
      <w:r>
        <w:drawing>
          <wp:inline distT="0" distB="0" distL="0" distR="0">
            <wp:extent cx="5486400" cy="2792185"/>
            <wp:docPr id="1" name="image1" descr="Business case model (model.py), base case assumptions"/>
            <a:graphic xmlns:a="http://schemas.openxmlformats.org/drawingml/2006/main">
              <a:graphicData uri="http://schemas.openxmlformats.org/drawingml/2006/picture">
                <pic:pic xmlns:pic="http://schemas.openxmlformats.org/drawingml/2006/picture">
                  <pic:nvPicPr>
                    <pic:cNvPr id="1" name="image1" descr="Business case model (model.py), base case assumptions"/>
                    <pic:cNvPicPr/>
                  </pic:nvPicPr>
                  <pic:blipFill>
                    <a:blip r:embed="rId7"/>
                    <a:stretch>
                      <a:fillRect/>
                    </a:stretch>
                  </pic:blipFill>
                  <pic:spPr>
                    <a:xfrm>
                      <a:off x="0" y="0"/>
                      <a:ext cx="5486400" cy="2792185"/>
                    </a:xfrm>
                    <a:prstGeom prst="rect">
                      <a:avLst/>
                    </a:prstGeom>
                  </pic:spPr>
                </pic:pic>
              </a:graphicData>
            </a:graphic>
          </wp:inline>
        </w:drawing>
      </w:r>
    </w:p>
    <w:p>
      <w:pPr/>
      <w:r>
        <w:t xml:space="preserve">Business case model (model.py), base case assumptions</w:t>
      </w:r>
    </w:p>
    <w:p>
      <w:pPr/>
      <w:r>
        <w:t xml:space="preserve">Price savings make up $353M of the total; the remaining $31.5M comes from no longer maintaining ~15,700 exited suppliers.</w:t>
      </w:r>
    </w:p>
    <w:p>
      <w:pPr/>
      <w:r>
        <w:rPr>
          <w:b/>
        </w:rPr>
        <w:t xml:space="preserve">One-time cost: $58.6M</w:t>
      </w:r>
      <w:r>
        <w:t xml:space="preserve">, made up of program team, analytics and tools ($15M), contracting and legal ($5M), supplier transition and requalification ($31M) and a 15% contingency. Core-segment exits carry most of the transition cost ($25k each) because some need quality requalification.</w:t>
      </w:r>
    </w:p>
    <w:p>
      <w:pPr/>
      <w:r>
        <w:rPr>
          <w:b/>
        </w:rPr>
        <w:t xml:space="preserve">Scenarios</w:t>
      </w:r>
      <w:r>
        <w:t xml:space="preserve"> (savings ramp 30% / 70% / 100% over years 1–3, 8% discount rate):</w:t>
      </w:r>
    </w:p>
    <w:tbl>
      <w:tblPr>
        <w:tblStyle w:val="TableGrid"/>
        <w:tblW w:w="0" w:type="auto"/>
        <w:tblLayout w:type="fixed"/>
        <w:tblLook w:val="04A0" w:firstRow="1" w:lastRow="0" w:firstColumn="0" w:lastColumn="0" w:noHBand="0" w:noVBand="1"/>
      </w:tblPr>
      <w:tblGrid>
        <w:gridCol w:w="1146"/>
        <w:gridCol w:w="1625"/>
        <w:gridCol w:w="1474"/>
        <w:gridCol w:w="1435"/>
        <w:gridCol w:w="1553"/>
        <w:gridCol w:w="1333"/>
        <w:gridCol w:w="791"/>
      </w:tblGrid>
      <w:tr>
        <w:trPr>
          <w:tblHeader/>
        </w:trPr>
        <w:tc>
          <w:tcPr>
            <w:tcW w:w="1146" w:type="dxa"/>
            <w:shd w:val="clear" w:color="auto" w:fill="F2F2F2"/>
          </w:tcPr>
          <w:p>
            <w:pPr/>
            <w:r>
              <w:t xml:space="preserve">Scenario</w:t>
            </w:r>
          </w:p>
        </w:tc>
        <w:tc>
          <w:tcPr>
            <w:tcW w:w="1625" w:type="dxa"/>
            <w:shd w:val="clear" w:color="auto" w:fill="F2F2F2"/>
          </w:tcPr>
          <w:p>
            <w:pPr/>
            <w:r>
              <w:t xml:space="preserve">Savings vs base</w:t>
            </w:r>
          </w:p>
        </w:tc>
        <w:tc>
          <w:tcPr>
            <w:tcW w:w="1474" w:type="dxa"/>
            <w:shd w:val="clear" w:color="auto" w:fill="F2F2F2"/>
          </w:tcPr>
          <w:p>
            <w:pPr/>
            <w:r>
              <w:t xml:space="preserve">Cost vs base</w:t>
            </w:r>
          </w:p>
        </w:tc>
        <w:tc>
          <w:tcPr>
            <w:tcW w:w="1435" w:type="dxa"/>
            <w:shd w:val="clear" w:color="auto" w:fill="F2F2F2"/>
          </w:tcPr>
          <w:p>
            <w:pPr/>
            <w:r>
              <w:t xml:space="preserve">Run-rate ($M/yr)</w:t>
            </w:r>
          </w:p>
        </w:tc>
        <w:tc>
          <w:tcPr>
            <w:tcW w:w="1553" w:type="dxa"/>
            <w:shd w:val="clear" w:color="auto" w:fill="F2F2F2"/>
          </w:tcPr>
          <w:p>
            <w:pPr/>
            <w:r>
              <w:t xml:space="preserve">3-yr savings ($M)</w:t>
            </w:r>
          </w:p>
        </w:tc>
        <w:tc>
          <w:tcPr>
            <w:tcW w:w="1333" w:type="dxa"/>
            <w:shd w:val="clear" w:color="auto" w:fill="F2F2F2"/>
          </w:tcPr>
          <w:p>
            <w:pPr/>
            <w:r>
              <w:t xml:space="preserve">3-yr NPV ($M)</w:t>
            </w:r>
          </w:p>
        </w:tc>
        <w:tc>
          <w:tcPr>
            <w:tcW w:w="791" w:type="dxa"/>
            <w:shd w:val="clear" w:color="auto" w:fill="F2F2F2"/>
          </w:tcPr>
          <w:p>
            <w:pPr/>
            <w:r>
              <w:t xml:space="preserve">ROI</w:t>
            </w:r>
          </w:p>
        </w:tc>
      </w:tr>
      <w:tr>
        <w:tc>
          <w:tcPr>
            <w:tcW w:w="1146" w:type="dxa"/>
          </w:tcPr>
          <w:p>
            <w:pPr/>
            <w:r>
              <w:t xml:space="preserve">Low</w:t>
            </w:r>
          </w:p>
        </w:tc>
        <w:tc>
          <w:tcPr>
            <w:tcW w:w="1625" w:type="dxa"/>
          </w:tcPr>
          <w:p>
            <w:pPr/>
            <w:r>
              <w:t xml:space="preserve">50%</w:t>
            </w:r>
          </w:p>
        </w:tc>
        <w:tc>
          <w:tcPr>
            <w:tcW w:w="1474" w:type="dxa"/>
          </w:tcPr>
          <w:p>
            <w:pPr/>
            <w:r>
              <w:t xml:space="preserve">125%</w:t>
            </w:r>
          </w:p>
        </w:tc>
        <w:tc>
          <w:tcPr>
            <w:tcW w:w="1435" w:type="dxa"/>
          </w:tcPr>
          <w:p>
            <w:pPr/>
            <w:r>
              <w:t xml:space="preserve">192</w:t>
            </w:r>
          </w:p>
        </w:tc>
        <w:tc>
          <w:tcPr>
            <w:tcW w:w="1553" w:type="dxa"/>
          </w:tcPr>
          <w:p>
            <w:pPr/>
            <w:r>
              <w:t xml:space="preserve">385</w:t>
            </w:r>
          </w:p>
        </w:tc>
        <w:tc>
          <w:tcPr>
            <w:tcW w:w="1333" w:type="dxa"/>
          </w:tcPr>
          <w:p>
            <w:pPr/>
            <w:r>
              <w:t xml:space="preserve">248</w:t>
            </w:r>
          </w:p>
        </w:tc>
        <w:tc>
          <w:tcPr>
            <w:tcW w:w="791" w:type="dxa"/>
          </w:tcPr>
          <w:p>
            <w:pPr/>
            <w:r>
              <w:t xml:space="preserve">4.3x</w:t>
            </w:r>
          </w:p>
        </w:tc>
      </w:tr>
      <w:tr>
        <w:tc>
          <w:tcPr>
            <w:tcW w:w="1146" w:type="dxa"/>
          </w:tcPr>
          <w:p>
            <w:pPr/>
            <w:r>
              <w:t xml:space="preserve">Base</w:t>
            </w:r>
          </w:p>
        </w:tc>
        <w:tc>
          <w:tcPr>
            <w:tcW w:w="1625" w:type="dxa"/>
          </w:tcPr>
          <w:p>
            <w:pPr/>
            <w:r>
              <w:t xml:space="preserve">100%</w:t>
            </w:r>
          </w:p>
        </w:tc>
        <w:tc>
          <w:tcPr>
            <w:tcW w:w="1474" w:type="dxa"/>
          </w:tcPr>
          <w:p>
            <w:pPr/>
            <w:r>
              <w:t xml:space="preserve">100%</w:t>
            </w:r>
          </w:p>
        </w:tc>
        <w:tc>
          <w:tcPr>
            <w:tcW w:w="1435" w:type="dxa"/>
          </w:tcPr>
          <w:p>
            <w:pPr/>
            <w:r>
              <w:t xml:space="preserve">385</w:t>
            </w:r>
          </w:p>
        </w:tc>
        <w:tc>
          <w:tcPr>
            <w:tcW w:w="1553" w:type="dxa"/>
          </w:tcPr>
          <w:p>
            <w:pPr/>
            <w:r>
              <w:t xml:space="preserve">769</w:t>
            </w:r>
          </w:p>
        </w:tc>
        <w:tc>
          <w:tcPr>
            <w:tcW w:w="1333" w:type="dxa"/>
          </w:tcPr>
          <w:p>
            <w:pPr/>
            <w:r>
              <w:t xml:space="preserve">584</w:t>
            </w:r>
          </w:p>
        </w:tc>
        <w:tc>
          <w:tcPr>
            <w:tcW w:w="791" w:type="dxa"/>
          </w:tcPr>
          <w:p>
            <w:pPr/>
            <w:r>
              <w:t xml:space="preserve">12.1x</w:t>
            </w:r>
          </w:p>
        </w:tc>
      </w:tr>
      <w:tr>
        <w:tc>
          <w:tcPr>
            <w:tcW w:w="1146" w:type="dxa"/>
          </w:tcPr>
          <w:p>
            <w:pPr/>
            <w:r>
              <w:t xml:space="preserve">High</w:t>
            </w:r>
          </w:p>
        </w:tc>
        <w:tc>
          <w:tcPr>
            <w:tcW w:w="1625" w:type="dxa"/>
          </w:tcPr>
          <w:p>
            <w:pPr/>
            <w:r>
              <w:t xml:space="preserve">130%</w:t>
            </w:r>
          </w:p>
        </w:tc>
        <w:tc>
          <w:tcPr>
            <w:tcW w:w="1474" w:type="dxa"/>
          </w:tcPr>
          <w:p>
            <w:pPr/>
            <w:r>
              <w:t xml:space="preserve">90%</w:t>
            </w:r>
          </w:p>
        </w:tc>
        <w:tc>
          <w:tcPr>
            <w:tcW w:w="1435" w:type="dxa"/>
          </w:tcPr>
          <w:p>
            <w:pPr/>
            <w:r>
              <w:t xml:space="preserve">500</w:t>
            </w:r>
          </w:p>
        </w:tc>
        <w:tc>
          <w:tcPr>
            <w:tcW w:w="1553" w:type="dxa"/>
          </w:tcPr>
          <w:p>
            <w:pPr/>
            <w:r>
              <w:t xml:space="preserve">1,000</w:t>
            </w:r>
          </w:p>
        </w:tc>
        <w:tc>
          <w:tcPr>
            <w:tcW w:w="1333" w:type="dxa"/>
          </w:tcPr>
          <w:p>
            <w:pPr/>
            <w:r>
              <w:t xml:space="preserve">783</w:t>
            </w:r>
          </w:p>
        </w:tc>
        <w:tc>
          <w:tcPr>
            <w:tcW w:w="791" w:type="dxa"/>
          </w:tcPr>
          <w:p>
            <w:pPr/>
            <w:r>
              <w:t xml:space="preserve">18.0x</w:t>
            </w:r>
          </w:p>
        </w:tc>
      </w:tr>
    </w:tbl>
    <w:p>
      <w:pPr/>
      <w:r>
        <w:t xml:space="preserve">Run-rate savings of 1.1% of addressable spend sit at the conservative end for a consolidation program, which is what makes the case defensible.</w:t>
      </w:r>
    </w:p>
    <w:p>
      <w:pPr>
        <w:pStyle w:val="Heading3"/>
      </w:pPr>
      <w:r>
        <w:t xml:space="preserve">Real-data savings model (replaces the estimate)</w:t>
      </w:r>
    </w:p>
    <w:p>
      <w:pPr/>
      <w:r>
        <w:t xml:space="preserve">Each step-4 decision is tied to one lever, using the price gap measured in the data where it exists. Inactive suppliers count as $0 because their spend had already stopped.</w:t>
      </w:r>
    </w:p>
    <w:p>
      <w:pPr/>
      <w:r>
        <w:drawing>
          <wp:inline distT="0" distB="0" distL="0" distR="0">
            <wp:extent cx="5486400" cy="2939142"/>
            <wp:docPr id="2" name="image2" descr="scripts/05_savings.py on the real supplier list, scaled to J&amp;J ($35B spend; 80,000 suppliers ÷ 8,226 active in one year)"/>
            <a:graphic xmlns:a="http://schemas.openxmlformats.org/drawingml/2006/main">
              <a:graphicData uri="http://schemas.openxmlformats.org/drawingml/2006/picture">
                <pic:pic xmlns:pic="http://schemas.openxmlformats.org/drawingml/2006/picture">
                  <pic:nvPicPr>
                    <pic:cNvPr id="2" name="image2" descr="scripts/05_savings.py on the real supplier list, scaled to J&amp;J ($35B spend; 80,000 suppliers ÷ 8,226 active in one year)"/>
                    <pic:cNvPicPr/>
                  </pic:nvPicPr>
                  <pic:blipFill>
                    <a:blip r:embed="rId8"/>
                    <a:stretch>
                      <a:fillRect/>
                    </a:stretch>
                  </pic:blipFill>
                  <pic:spPr>
                    <a:xfrm>
                      <a:off x="0" y="0"/>
                      <a:ext cx="5486400" cy="2939142"/>
                    </a:xfrm>
                    <a:prstGeom prst="rect">
                      <a:avLst/>
                    </a:prstGeom>
                  </pic:spPr>
                </pic:pic>
              </a:graphicData>
            </a:graphic>
          </wp:inline>
        </w:drawing>
      </w:r>
    </w:p>
    <w:p>
      <w:pPr/>
      <w:r>
        <w:t xml:space="preserve">scripts/05_savings.py on the real supplier list, scaled to J&amp;J ($35B spend; 80,000 suppliers ÷ 8,226 active in one year)</w:t>
      </w:r>
    </w:p>
    <w:tbl>
      <w:tblPr>
        <w:tblStyle w:val="TableGrid"/>
        <w:tblW w:w="0" w:type="auto"/>
        <w:tblLayout w:type="fixed"/>
        <w:tblLook w:val="04A0" w:firstRow="1" w:lastRow="0" w:firstColumn="0" w:lastColumn="0" w:noHBand="0" w:noVBand="1"/>
      </w:tblPr>
      <w:tblGrid>
        <w:gridCol w:w="6412"/>
        <w:gridCol w:w="938"/>
        <w:gridCol w:w="977"/>
        <w:gridCol w:w="1031"/>
      </w:tblGrid>
      <w:tr>
        <w:trPr>
          <w:tblHeader/>
        </w:trPr>
        <w:tc>
          <w:tcPr>
            <w:tcW w:w="6412" w:type="dxa"/>
            <w:shd w:val="clear" w:color="auto" w:fill="F2F2F2"/>
          </w:tcPr>
          <w:p>
            <w:pPr/>
            <w:r>
              <w:t xml:space="preserve">J&amp;J scale, $M</w:t>
            </w:r>
          </w:p>
        </w:tc>
        <w:tc>
          <w:tcPr>
            <w:tcW w:w="938" w:type="dxa"/>
            <w:shd w:val="clear" w:color="auto" w:fill="F2F2F2"/>
          </w:tcPr>
          <w:p>
            <w:pPr/>
            <w:r>
              <w:t xml:space="preserve">Low</w:t>
            </w:r>
          </w:p>
        </w:tc>
        <w:tc>
          <w:tcPr>
            <w:tcW w:w="977" w:type="dxa"/>
            <w:shd w:val="clear" w:color="auto" w:fill="F2F2F2"/>
          </w:tcPr>
          <w:p>
            <w:pPr/>
            <w:r>
              <w:t xml:space="preserve">Base</w:t>
            </w:r>
          </w:p>
        </w:tc>
        <w:tc>
          <w:tcPr>
            <w:tcW w:w="1031" w:type="dxa"/>
            <w:shd w:val="clear" w:color="auto" w:fill="F2F2F2"/>
          </w:tcPr>
          <w:p>
            <w:pPr/>
            <w:r>
              <w:t xml:space="preserve">High</w:t>
            </w:r>
          </w:p>
        </w:tc>
      </w:tr>
      <w:tr>
        <w:tc>
          <w:tcPr>
            <w:tcW w:w="6412" w:type="dxa"/>
          </w:tcPr>
          <w:p>
            <w:pPr/>
            <w:r>
              <w:t xml:space="preserve">Price gap on re-routed spend (measured)</w:t>
            </w:r>
          </w:p>
        </w:tc>
        <w:tc>
          <w:tcPr>
            <w:tcW w:w="938" w:type="dxa"/>
          </w:tcPr>
          <w:p>
            <w:pPr/>
            <w:r>
              <w:t xml:space="preserve">0</w:t>
            </w:r>
          </w:p>
        </w:tc>
        <w:tc>
          <w:tcPr>
            <w:tcW w:w="977" w:type="dxa"/>
          </w:tcPr>
          <w:p>
            <w:pPr/>
            <w:r>
              <w:t xml:space="preserve">63</w:t>
            </w:r>
          </w:p>
        </w:tc>
        <w:tc>
          <w:tcPr>
            <w:tcW w:w="1031" w:type="dxa"/>
          </w:tcPr>
          <w:p>
            <w:pPr/>
            <w:r>
              <w:t xml:space="preserve">126</w:t>
            </w:r>
          </w:p>
        </w:tc>
      </w:tr>
      <w:tr>
        <w:tc>
          <w:tcPr>
            <w:tcW w:w="6412" w:type="dxa"/>
          </w:tcPr>
          <w:p>
            <w:pPr/>
            <w:r>
              <w:t xml:space="preserve">Fewer suppliers to manage (scaled from 80,000)</w:t>
            </w:r>
          </w:p>
        </w:tc>
        <w:tc>
          <w:tcPr>
            <w:tcW w:w="938" w:type="dxa"/>
          </w:tcPr>
          <w:p>
            <w:pPr/>
            <w:r>
              <w:t xml:space="preserve">22</w:t>
            </w:r>
          </w:p>
        </w:tc>
        <w:tc>
          <w:tcPr>
            <w:tcW w:w="977" w:type="dxa"/>
          </w:tcPr>
          <w:p>
            <w:pPr/>
            <w:r>
              <w:t xml:space="preserve">71</w:t>
            </w:r>
          </w:p>
        </w:tc>
        <w:tc>
          <w:tcPr>
            <w:tcW w:w="1031" w:type="dxa"/>
          </w:tcPr>
          <w:p>
            <w:pPr/>
            <w:r>
              <w:t xml:space="preserve">125</w:t>
            </w:r>
          </w:p>
        </w:tc>
      </w:tr>
      <w:tr>
        <w:tc>
          <w:tcPr>
            <w:tcW w:w="6412" w:type="dxa"/>
          </w:tcPr>
          <w:p>
            <w:pPr/>
            <w:r>
              <w:t xml:space="preserve">Re-tender of kept leverage suppliers (assumption)</w:t>
            </w:r>
          </w:p>
        </w:tc>
        <w:tc>
          <w:tcPr>
            <w:tcW w:w="938" w:type="dxa"/>
          </w:tcPr>
          <w:p>
            <w:pPr/>
            <w:r>
              <w:t xml:space="preserve">93</w:t>
            </w:r>
          </w:p>
        </w:tc>
        <w:tc>
          <w:tcPr>
            <w:tcW w:w="977" w:type="dxa"/>
          </w:tcPr>
          <w:p>
            <w:pPr/>
            <w:r>
              <w:t xml:space="preserve">280</w:t>
            </w:r>
          </w:p>
        </w:tc>
        <w:tc>
          <w:tcPr>
            <w:tcW w:w="1031" w:type="dxa"/>
          </w:tcPr>
          <w:p>
            <w:pPr/>
            <w:r>
              <w:t xml:space="preserve">561</w:t>
            </w:r>
          </w:p>
        </w:tc>
      </w:tr>
      <w:tr>
        <w:tc>
          <w:tcPr>
            <w:tcW w:w="6412" w:type="dxa"/>
          </w:tcPr>
          <w:p>
            <w:pPr/>
            <w:r>
              <w:rPr>
                <w:b/>
              </w:rPr>
              <w:t xml:space="preserve">Run-rate savings per year</w:t>
            </w:r>
          </w:p>
        </w:tc>
        <w:tc>
          <w:tcPr>
            <w:tcW w:w="938" w:type="dxa"/>
          </w:tcPr>
          <w:p>
            <w:pPr/>
            <w:r>
              <w:rPr>
                <w:b/>
              </w:rPr>
              <w:t xml:space="preserve">115</w:t>
            </w:r>
          </w:p>
        </w:tc>
        <w:tc>
          <w:tcPr>
            <w:tcW w:w="977" w:type="dxa"/>
          </w:tcPr>
          <w:p>
            <w:pPr/>
            <w:r>
              <w:rPr>
                <w:b/>
              </w:rPr>
              <w:t xml:space="preserve">414</w:t>
            </w:r>
          </w:p>
        </w:tc>
        <w:tc>
          <w:tcPr>
            <w:tcW w:w="1031" w:type="dxa"/>
          </w:tcPr>
          <w:p>
            <w:pPr/>
            <w:r>
              <w:rPr>
                <w:b/>
              </w:rPr>
              <w:t xml:space="preserve">811</w:t>
            </w:r>
          </w:p>
        </w:tc>
      </w:tr>
      <w:tr>
        <w:tc>
          <w:tcPr>
            <w:tcW w:w="6412" w:type="dxa"/>
          </w:tcPr>
          <w:p>
            <w:pPr/>
            <w:r>
              <w:t xml:space="preserve">One-time cost</w:t>
            </w:r>
          </w:p>
        </w:tc>
        <w:tc>
          <w:tcPr>
            <w:tcW w:w="938" w:type="dxa"/>
          </w:tcPr>
          <w:p>
            <w:pPr/>
            <w:r>
              <w:t xml:space="preserve">34</w:t>
            </w:r>
          </w:p>
        </w:tc>
        <w:tc>
          <w:tcPr>
            <w:tcW w:w="977" w:type="dxa"/>
          </w:tcPr>
          <w:p>
            <w:pPr/>
            <w:r>
              <w:t xml:space="preserve">73</w:t>
            </w:r>
          </w:p>
        </w:tc>
        <w:tc>
          <w:tcPr>
            <w:tcW w:w="1031" w:type="dxa"/>
          </w:tcPr>
          <w:p>
            <w:pPr/>
            <w:r>
              <w:t xml:space="preserve">91</w:t>
            </w:r>
          </w:p>
        </w:tc>
      </w:tr>
      <w:tr>
        <w:tc>
          <w:tcPr>
            <w:tcW w:w="6412" w:type="dxa"/>
          </w:tcPr>
          <w:p>
            <w:pPr/>
            <w:r>
              <w:t xml:space="preserve">3-year NPV (8%, ramp 30/70/100%)</w:t>
            </w:r>
          </w:p>
        </w:tc>
        <w:tc>
          <w:tcPr>
            <w:tcW w:w="938" w:type="dxa"/>
          </w:tcPr>
          <w:p>
            <w:pPr/>
            <w:r>
              <w:t xml:space="preserve">158</w:t>
            </w:r>
          </w:p>
        </w:tc>
        <w:tc>
          <w:tcPr>
            <w:tcW w:w="977" w:type="dxa"/>
          </w:tcPr>
          <w:p>
            <w:pPr/>
            <w:r>
              <w:t xml:space="preserve">619</w:t>
            </w:r>
          </w:p>
        </w:tc>
        <w:tc>
          <w:tcPr>
            <w:tcW w:w="1031" w:type="dxa"/>
          </w:tcPr>
          <w:p>
            <w:pPr/>
            <w:r>
              <w:t xml:space="preserve">1,265</w:t>
            </w:r>
          </w:p>
        </w:tc>
      </w:tr>
      <w:tr>
        <w:tc>
          <w:tcPr>
            <w:tcW w:w="6412" w:type="dxa"/>
          </w:tcPr>
          <w:p>
            <w:pPr/>
            <w:r>
              <w:t xml:space="preserve">Meets $300M goal?</w:t>
            </w:r>
          </w:p>
        </w:tc>
        <w:tc>
          <w:tcPr>
            <w:tcW w:w="938" w:type="dxa"/>
          </w:tcPr>
          <w:p>
            <w:pPr/>
            <w:r>
              <w:t xml:space="preserve">No</w:t>
            </w:r>
          </w:p>
        </w:tc>
        <w:tc>
          <w:tcPr>
            <w:tcW w:w="977" w:type="dxa"/>
          </w:tcPr>
          <w:p>
            <w:pPr/>
            <w:r>
              <w:t xml:space="preserve">Yes</w:t>
            </w:r>
          </w:p>
        </w:tc>
        <w:tc>
          <w:tcPr>
            <w:tcW w:w="1031" w:type="dxa"/>
          </w:tcPr>
          <w:p>
            <w:pPr/>
            <w:r>
              <w:t xml:space="preserve">Yes</w:t>
            </w:r>
          </w:p>
        </w:tc>
      </w:tr>
    </w:tbl>
    <w:p>
      <w:pPr/>
      <w:r>
        <w:rPr>
          <w:b/>
        </w:rPr>
        <w:t xml:space="preserve">What has to be true:</w:t>
      </w:r>
      <w:r>
        <w:t xml:space="preserve"> the re-tender of kept leverage suppliers must save </w:t>
      </w:r>
      <w:r>
        <w:rPr>
          <w:b/>
        </w:rPr>
        <w:t xml:space="preserve">at least 0.89%</w:t>
      </w:r>
      <w:r>
        <w:t xml:space="preserve"> for the base case to clear $300M (1.2% in the conservative plan). The MSA template's volume tiers and benchmark clause are how that saving is captured and measured.</w:t>
      </w:r>
    </w:p>
    <w:p>
      <w:pPr>
        <w:pStyle w:val="Heading2"/>
      </w:pPr>
      <w:r>
        <w:t xml:space="preserve">Agreements for retained suppliers</w:t>
      </w:r>
    </w:p>
    <w:p>
      <w:pPr/>
      <w:r>
        <w:t xml:space="preserve">Each retained supplier gets the agreement its role needs. An MOU fits strategic partners because it records shared intent, but it is not binding on price or supply, so it always sits on top of a binding contract.</w:t>
      </w:r>
    </w:p>
    <w:tbl>
      <w:tblPr>
        <w:tblStyle w:val="TableGrid"/>
        <w:tblW w:w="0" w:type="auto"/>
        <w:tblLayout w:type="fixed"/>
        <w:tblLook w:val="04A0" w:firstRow="1" w:lastRow="0" w:firstColumn="0" w:lastColumn="0" w:noHBand="0" w:noVBand="1"/>
      </w:tblPr>
      <w:tblGrid>
        <w:gridCol w:w="1582"/>
        <w:gridCol w:w="2158"/>
        <w:gridCol w:w="2112"/>
        <w:gridCol w:w="2519"/>
        <w:gridCol w:w="989"/>
      </w:tblGrid>
      <w:tr>
        <w:trPr>
          <w:tblHeader/>
        </w:trPr>
        <w:tc>
          <w:tcPr>
            <w:tcW w:w="1582" w:type="dxa"/>
            <w:shd w:val="clear" w:color="auto" w:fill="F2F2F2"/>
          </w:tcPr>
          <w:p>
            <w:pPr/>
            <w:r>
              <w:t xml:space="preserve">Kraljic quadrant</w:t>
            </w:r>
          </w:p>
        </w:tc>
        <w:tc>
          <w:tcPr>
            <w:tcW w:w="2158" w:type="dxa"/>
            <w:shd w:val="clear" w:color="auto" w:fill="F2F2F2"/>
          </w:tcPr>
          <w:p>
            <w:pPr/>
            <w:r>
              <w:t xml:space="preserve">Typical J&amp;J categories</w:t>
            </w:r>
          </w:p>
        </w:tc>
        <w:tc>
          <w:tcPr>
            <w:tcW w:w="2112" w:type="dxa"/>
            <w:shd w:val="clear" w:color="auto" w:fill="F2F2F2"/>
          </w:tcPr>
          <w:p>
            <w:pPr/>
            <w:r>
              <w:t xml:space="preserve">Agreement</w:t>
            </w:r>
          </w:p>
        </w:tc>
        <w:tc>
          <w:tcPr>
            <w:tcW w:w="2519" w:type="dxa"/>
            <w:shd w:val="clear" w:color="auto" w:fill="F2F2F2"/>
          </w:tcPr>
          <w:p>
            <w:pPr/>
            <w:r>
              <w:t xml:space="preserve">What it locks in</w:t>
            </w:r>
          </w:p>
        </w:tc>
        <w:tc>
          <w:tcPr>
            <w:tcW w:w="989" w:type="dxa"/>
            <w:shd w:val="clear" w:color="auto" w:fill="F2F2F2"/>
          </w:tcPr>
          <w:p>
            <w:pPr/>
            <w:r>
              <w:t xml:space="preserve">Term</w:t>
            </w:r>
          </w:p>
        </w:tc>
      </w:tr>
      <w:tr>
        <w:tc>
          <w:tcPr>
            <w:tcW w:w="1582" w:type="dxa"/>
          </w:tcPr>
          <w:p>
            <w:pPr/>
            <w:r>
              <w:t xml:space="preserve">Strategic (high value, high risk)</w:t>
            </w:r>
          </w:p>
        </w:tc>
        <w:tc>
          <w:tcPr>
            <w:tcW w:w="2158" w:type="dxa"/>
          </w:tcPr>
          <w:p>
            <w:pPr/>
            <w:r>
              <w:t xml:space="preserve">APIs, biologics inputs, contract manufacturers</w:t>
            </w:r>
          </w:p>
        </w:tc>
        <w:tc>
          <w:tcPr>
            <w:tcW w:w="2112" w:type="dxa"/>
          </w:tcPr>
          <w:p>
            <w:pPr/>
            <w:r>
              <w:t xml:space="preserve">MOU / strategic partnership + supply agreement + quality agreement</w:t>
            </w:r>
          </w:p>
        </w:tc>
        <w:tc>
          <w:tcPr>
            <w:tcW w:w="2519" w:type="dxa"/>
          </w:tcPr>
          <w:p>
            <w:pPr/>
            <w:r>
              <w:t xml:space="preserve">Joint roadmap, capacity reservation, quality and change-control terms</w:t>
            </w:r>
          </w:p>
        </w:tc>
        <w:tc>
          <w:tcPr>
            <w:tcW w:w="989" w:type="dxa"/>
          </w:tcPr>
          <w:p>
            <w:pPr/>
            <w:r>
              <w:t xml:space="preserve">3–5 yrs</w:t>
            </w:r>
          </w:p>
        </w:tc>
      </w:tr>
      <w:tr>
        <w:tc>
          <w:tcPr>
            <w:tcW w:w="1582" w:type="dxa"/>
          </w:tcPr>
          <w:p>
            <w:pPr/>
            <w:r>
              <w:t xml:space="preserve">Bottleneck (low value, high risk)</w:t>
            </w:r>
          </w:p>
        </w:tc>
        <w:tc>
          <w:tcPr>
            <w:tcW w:w="2158" w:type="dxa"/>
          </w:tcPr>
          <w:p>
            <w:pPr/>
            <w:r>
              <w:t xml:space="preserve">Specialty excipients, single-source components</w:t>
            </w:r>
          </w:p>
        </w:tc>
        <w:tc>
          <w:tcPr>
            <w:tcW w:w="2112" w:type="dxa"/>
          </w:tcPr>
          <w:p>
            <w:pPr/>
            <w:r>
              <w:t xml:space="preserve">Long-term supply agreement + dual-sourcing plan</w:t>
            </w:r>
          </w:p>
        </w:tc>
        <w:tc>
          <w:tcPr>
            <w:tcW w:w="2519" w:type="dxa"/>
          </w:tcPr>
          <w:p>
            <w:pPr/>
            <w:r>
              <w:t xml:space="preserve">Safety stock, notice of discontinuation, second source qualification</w:t>
            </w:r>
          </w:p>
        </w:tc>
        <w:tc>
          <w:tcPr>
            <w:tcW w:w="989" w:type="dxa"/>
          </w:tcPr>
          <w:p>
            <w:pPr/>
            <w:r>
              <w:t xml:space="preserve">3–5 yrs</w:t>
            </w:r>
          </w:p>
        </w:tc>
      </w:tr>
      <w:tr>
        <w:tc>
          <w:tcPr>
            <w:tcW w:w="1582" w:type="dxa"/>
          </w:tcPr>
          <w:p>
            <w:pPr/>
            <w:r>
              <w:t xml:space="preserve">Leverage (high value, low risk)</w:t>
            </w:r>
          </w:p>
        </w:tc>
        <w:tc>
          <w:tcPr>
            <w:tcW w:w="2158" w:type="dxa"/>
          </w:tcPr>
          <w:p>
            <w:pPr/>
            <w:r>
              <w:t xml:space="preserve">Packaging, lab supplies, IT services, logistics</w:t>
            </w:r>
          </w:p>
        </w:tc>
        <w:tc>
          <w:tcPr>
            <w:tcW w:w="2112" w:type="dxa"/>
          </w:tcPr>
          <w:p>
            <w:pPr/>
            <w:r>
              <w:t xml:space="preserve">Master supply / services agreement (MSA)</w:t>
            </w:r>
          </w:p>
        </w:tc>
        <w:tc>
          <w:tcPr>
            <w:tcW w:w="2519" w:type="dxa"/>
          </w:tcPr>
          <w:p>
            <w:pPr/>
            <w:r>
              <w:t xml:space="preserve">Volume-tiered pricing, SLAs, rebates, payment terms</w:t>
            </w:r>
          </w:p>
        </w:tc>
        <w:tc>
          <w:tcPr>
            <w:tcW w:w="989" w:type="dxa"/>
          </w:tcPr>
          <w:p>
            <w:pPr/>
            <w:r>
              <w:t xml:space="preserve">2–3 yrs</w:t>
            </w:r>
          </w:p>
        </w:tc>
      </w:tr>
      <w:tr>
        <w:tc>
          <w:tcPr>
            <w:tcW w:w="1582" w:type="dxa"/>
          </w:tcPr>
          <w:p>
            <w:pPr/>
            <w:r>
              <w:t xml:space="preserve">Non-critical (low value, low risk)</w:t>
            </w:r>
          </w:p>
        </w:tc>
        <w:tc>
          <w:tcPr>
            <w:tcW w:w="2158" w:type="dxa"/>
          </w:tcPr>
          <w:p>
            <w:pPr/>
            <w:r>
              <w:t xml:space="preserve">MRO, office supplies, travel, small services</w:t>
            </w:r>
          </w:p>
        </w:tc>
        <w:tc>
          <w:tcPr>
            <w:tcW w:w="2112" w:type="dxa"/>
          </w:tcPr>
          <w:p>
            <w:pPr/>
            <w:r>
              <w:t xml:space="preserve">Catalog / marketplace / P-card</w:t>
            </w:r>
          </w:p>
        </w:tc>
        <w:tc>
          <w:tcPr>
            <w:tcW w:w="2519" w:type="dxa"/>
          </w:tcPr>
          <w:p>
            <w:pPr/>
            <w:r>
              <w:t xml:space="preserve">Fixed catalog pricing, punch-out ordering</w:t>
            </w:r>
          </w:p>
        </w:tc>
        <w:tc>
          <w:tcPr>
            <w:tcW w:w="989" w:type="dxa"/>
          </w:tcPr>
          <w:p>
            <w:pPr/>
            <w:r>
              <w:t xml:space="preserve">1–2 yrs</w:t>
            </w:r>
          </w:p>
        </w:tc>
      </w:tr>
    </w:tbl>
    <w:p>
      <w:pPr/>
      <w:r>
        <w:t xml:space="preserve">Regulated suppliers also keep their GMP quality agreements regardless of commercial terms. In the project phase, I will draft a template MOU and an MSA term sheet.</w:t>
      </w:r>
    </w:p>
    <w:p>
      <w:pPr/>
      <w:r>
        <w:rPr>
          <w:b/>
        </w:rPr>
        <w:t xml:space="preserve">Templates built (step 7)</w:t>
      </w:r>
      <w:r>
        <w:t xml:space="preserve">, one per quadrant, applied to the step-4 keep list:</w:t>
      </w:r>
    </w:p>
    <w:tbl>
      <w:tblPr>
        <w:tblStyle w:val="TableGrid"/>
        <w:tblW w:w="0" w:type="auto"/>
        <w:tblLayout w:type="fixed"/>
        <w:tblLook w:val="04A0" w:firstRow="1" w:lastRow="0" w:firstColumn="0" w:lastColumn="0" w:noHBand="0" w:noVBand="1"/>
      </w:tblPr>
      <w:tblGrid>
        <w:gridCol w:w="6052"/>
        <w:gridCol w:w="1799"/>
        <w:gridCol w:w="1507"/>
      </w:tblGrid>
      <w:tr>
        <w:trPr>
          <w:tblHeader/>
        </w:trPr>
        <w:tc>
          <w:tcPr>
            <w:tcW w:w="6052" w:type="dxa"/>
            <w:shd w:val="clear" w:color="auto" w:fill="F2F2F2"/>
          </w:tcPr>
          <w:p>
            <w:pPr/>
            <w:r>
              <w:t xml:space="preserve">Template</w:t>
            </w:r>
          </w:p>
        </w:tc>
        <w:tc>
          <w:tcPr>
            <w:tcW w:w="1799" w:type="dxa"/>
            <w:shd w:val="clear" w:color="auto" w:fill="F2F2F2"/>
          </w:tcPr>
          <w:p>
            <w:pPr/>
            <w:r>
              <w:t xml:space="preserve">Applies to</w:t>
            </w:r>
          </w:p>
        </w:tc>
        <w:tc>
          <w:tcPr>
            <w:tcW w:w="1507" w:type="dxa"/>
            <w:shd w:val="clear" w:color="auto" w:fill="F2F2F2"/>
          </w:tcPr>
          <w:p>
            <w:pPr/>
            <w:r>
              <w:t xml:space="preserve">Suppliers</w:t>
            </w:r>
          </w:p>
        </w:tc>
      </w:tr>
      <w:tr>
        <w:tc>
          <w:tcPr>
            <w:tcW w:w="6052" w:type="dxa"/>
          </w:tcPr>
          <w:p>
            <w:pPr/>
            <w:r>
              <w:t xml:space="preserve">Strategic partnership MOU</w:t>
            </w:r>
          </w:p>
        </w:tc>
        <w:tc>
          <w:tcPr>
            <w:tcW w:w="1799" w:type="dxa"/>
          </w:tcPr>
          <w:p>
            <w:pPr/>
            <w:r>
              <w:t xml:space="preserve">Strategic</w:t>
            </w:r>
          </w:p>
        </w:tc>
        <w:tc>
          <w:tcPr>
            <w:tcW w:w="1507" w:type="dxa"/>
          </w:tcPr>
          <w:p>
            <w:pPr/>
            <w:r>
              <w:t xml:space="preserve">417</w:t>
            </w:r>
          </w:p>
        </w:tc>
      </w:tr>
      <w:tr>
        <w:tc>
          <w:tcPr>
            <w:tcW w:w="6052" w:type="dxa"/>
          </w:tcPr>
          <w:p>
            <w:pPr/>
            <w:r>
              <w:t xml:space="preserve">MSA term sheet with volume tiers and benchmark clause</w:t>
            </w:r>
          </w:p>
        </w:tc>
        <w:tc>
          <w:tcPr>
            <w:tcW w:w="1799" w:type="dxa"/>
          </w:tcPr>
          <w:p>
            <w:pPr/>
            <w:r>
              <w:t xml:space="preserve">Leverage</w:t>
            </w:r>
          </w:p>
        </w:tc>
        <w:tc>
          <w:tcPr>
            <w:tcW w:w="1507" w:type="dxa"/>
          </w:tcPr>
          <w:p>
            <w:pPr/>
            <w:r>
              <w:t xml:space="preserve">1,648</w:t>
            </w:r>
          </w:p>
        </w:tc>
      </w:tr>
      <w:tr>
        <w:tc>
          <w:tcPr>
            <w:tcW w:w="6052" w:type="dxa"/>
          </w:tcPr>
          <w:p>
            <w:pPr/>
            <w:r>
              <w:t xml:space="preserve">Long-term supply agreement with second-source plan</w:t>
            </w:r>
          </w:p>
        </w:tc>
        <w:tc>
          <w:tcPr>
            <w:tcW w:w="1799" w:type="dxa"/>
          </w:tcPr>
          <w:p>
            <w:pPr/>
            <w:r>
              <w:t xml:space="preserve">Bottleneck</w:t>
            </w:r>
          </w:p>
        </w:tc>
        <w:tc>
          <w:tcPr>
            <w:tcW w:w="1507" w:type="dxa"/>
          </w:tcPr>
          <w:p>
            <w:pPr/>
            <w:r>
              <w:t xml:space="preserve">1,061</w:t>
            </w:r>
          </w:p>
        </w:tc>
      </w:tr>
      <w:tr>
        <w:tc>
          <w:tcPr>
            <w:tcW w:w="6052" w:type="dxa"/>
          </w:tcPr>
          <w:p>
            <w:pPr/>
            <w:r>
              <w:t xml:space="preserve">Catalog / purchasing-card terms</w:t>
            </w:r>
          </w:p>
        </w:tc>
        <w:tc>
          <w:tcPr>
            <w:tcW w:w="1799" w:type="dxa"/>
          </w:tcPr>
          <w:p>
            <w:pPr/>
            <w:r>
              <w:t xml:space="preserve">Non-critical</w:t>
            </w:r>
          </w:p>
        </w:tc>
        <w:tc>
          <w:tcPr>
            <w:tcW w:w="1507" w:type="dxa"/>
          </w:tcPr>
          <w:p>
            <w:pPr/>
            <w:r>
              <w:t xml:space="preserve">1,522</w:t>
            </w:r>
          </w:p>
        </w:tc>
      </w:tr>
      <w:tr>
        <w:tc>
          <w:tcPr>
            <w:tcW w:w="6052" w:type="dxa"/>
          </w:tcPr>
          <w:p>
            <w:pPr/>
            <w:r>
              <w:t xml:space="preserve">Transition notices (closure, consolidation, duplicate merge)</w:t>
            </w:r>
          </w:p>
        </w:tc>
        <w:tc>
          <w:tcPr>
            <w:tcW w:w="1799" w:type="dxa"/>
          </w:tcPr>
          <w:p>
            <w:pPr/>
            <w:r>
              <w:t xml:space="preserve">Not kept</w:t>
            </w:r>
          </w:p>
        </w:tc>
        <w:tc>
          <w:tcPr>
            <w:tcW w:w="1507" w:type="dxa"/>
          </w:tcPr>
          <w:p>
            <w:pPr/>
            <w:r>
              <w:t xml:space="preserve">12,285</w:t>
            </w:r>
          </w:p>
        </w:tc>
      </w:tr>
    </w:tbl>
    <w:p>
      <w:pPr/>
      <w:r>
        <w:t xml:space="preserve">The clauses mirror real J&amp;J contracts read in the SEC filings: notice periods (Alkermes), fixed term with extension option (MeiraGTx) and technology transfer (Mersana). Full text: </w:t>
      </w:r>
      <w:hyperlink r:id="rId9" w:history="1">
        <w:r>
          <w:rPr>
            <w:rStyle w:val="Hyperlink"/>
          </w:rPr>
          <w:t xml:space="preserve">docs/agreements</w:t>
        </w:r>
      </w:hyperlink>
      <w:r>
        <w:t xml:space="preserve">.</w:t>
      </w:r>
    </w:p>
    <w:p>
      <w:pPr>
        <w:pStyle w:val="Heading2"/>
      </w:pPr>
      <w:r>
        <w:t xml:space="preserve">Risks and guardrails</w:t>
      </w:r>
    </w:p>
    <w:p>
      <w:pPr/>
      <w:r>
        <w:t xml:space="preserve">The largest risk is supply continuity in regulated categories; the rules above exist mainly to contain it.</w:t>
      </w:r>
    </w:p>
    <w:tbl>
      <w:tblPr>
        <w:tblStyle w:val="TableGrid"/>
        <w:tblW w:w="0" w:type="auto"/>
        <w:tblLayout w:type="fixed"/>
        <w:tblLook w:val="04A0" w:firstRow="1" w:lastRow="0" w:firstColumn="0" w:lastColumn="0" w:noHBand="0" w:noVBand="1"/>
      </w:tblPr>
      <w:tblGrid>
        <w:gridCol w:w="2658"/>
        <w:gridCol w:w="2243"/>
        <w:gridCol w:w="4458"/>
      </w:tblGrid>
      <w:tr>
        <w:trPr>
          <w:tblHeader/>
        </w:trPr>
        <w:tc>
          <w:tcPr>
            <w:tcW w:w="2658" w:type="dxa"/>
            <w:shd w:val="clear" w:color="auto" w:fill="F2F2F2"/>
          </w:tcPr>
          <w:p>
            <w:pPr/>
            <w:r>
              <w:t xml:space="preserve">Risk</w:t>
            </w:r>
          </w:p>
        </w:tc>
        <w:tc>
          <w:tcPr>
            <w:tcW w:w="2243" w:type="dxa"/>
            <w:shd w:val="clear" w:color="auto" w:fill="F2F2F2"/>
          </w:tcPr>
          <w:p>
            <w:pPr/>
            <w:r>
              <w:t xml:space="preserve">Impact</w:t>
            </w:r>
          </w:p>
        </w:tc>
        <w:tc>
          <w:tcPr>
            <w:tcW w:w="4458" w:type="dxa"/>
            <w:shd w:val="clear" w:color="auto" w:fill="F2F2F2"/>
          </w:tcPr>
          <w:p>
            <w:pPr/>
            <w:r>
              <w:t xml:space="preserve">Guardrail</w:t>
            </w:r>
          </w:p>
        </w:tc>
      </w:tr>
      <w:tr>
        <w:tc>
          <w:tcPr>
            <w:tcW w:w="2658" w:type="dxa"/>
          </w:tcPr>
          <w:p>
            <w:pPr/>
            <w:r>
              <w:t xml:space="preserve">Supply disruption after exiting a source</w:t>
            </w:r>
          </w:p>
        </w:tc>
        <w:tc>
          <w:tcPr>
            <w:tcW w:w="2243" w:type="dxa"/>
          </w:tcPr>
          <w:p>
            <w:pPr/>
            <w:r>
              <w:t xml:space="preserve">Patient supply, revenue</w:t>
            </w:r>
          </w:p>
        </w:tc>
        <w:tc>
          <w:tcPr>
            <w:tcW w:w="4458" w:type="dxa"/>
          </w:tcPr>
          <w:p>
            <w:pPr/>
            <w:r>
              <w:t xml:space="preserve">Rules 1–2: no regulated sole-source exits; dual sourcing for critical items</w:t>
            </w:r>
          </w:p>
        </w:tc>
      </w:tr>
      <w:tr>
        <w:tc>
          <w:tcPr>
            <w:tcW w:w="2658" w:type="dxa"/>
          </w:tcPr>
          <w:p>
            <w:pPr/>
            <w:r>
              <w:t xml:space="preserve">Requalification takes longer than planned</w:t>
            </w:r>
          </w:p>
        </w:tc>
        <w:tc>
          <w:tcPr>
            <w:tcW w:w="2243" w:type="dxa"/>
          </w:tcPr>
          <w:p>
            <w:pPr/>
            <w:r>
              <w:t xml:space="preserve">Savings delayed 12–24 months</w:t>
            </w:r>
          </w:p>
        </w:tc>
        <w:tc>
          <w:tcPr>
            <w:tcW w:w="4458" w:type="dxa"/>
          </w:tcPr>
          <w:p>
            <w:pPr/>
            <w:r>
              <w:t xml:space="preserve">Regulated changes scheduled in later waves; savings ramp assumes delay</w:t>
            </w:r>
          </w:p>
        </w:tc>
      </w:tr>
      <w:tr>
        <w:tc>
          <w:tcPr>
            <w:tcW w:w="2658" w:type="dxa"/>
          </w:tcPr>
          <w:p>
            <w:pPr/>
            <w:r>
              <w:t xml:space="preserve">Breaking diversity commitments</w:t>
            </w:r>
          </w:p>
        </w:tc>
        <w:tc>
          <w:tcPr>
            <w:tcW w:w="2243" w:type="dxa"/>
          </w:tcPr>
          <w:p>
            <w:pPr/>
            <w:r>
              <w:t xml:space="preserve">Reputation, Billion Dollar Roundtable status</w:t>
            </w:r>
          </w:p>
        </w:tc>
        <w:tc>
          <w:tcPr>
            <w:tcW w:w="4458" w:type="dxa"/>
          </w:tcPr>
          <w:p>
            <w:pPr/>
            <w:r>
              <w:t xml:space="preserve">Rule 3: diverse spend floor of $3B tracked monthly</w:t>
            </w:r>
          </w:p>
        </w:tc>
      </w:tr>
      <w:tr>
        <w:tc>
          <w:tcPr>
            <w:tcW w:w="2658" w:type="dxa"/>
          </w:tcPr>
          <w:p>
            <w:pPr/>
            <w:r>
              <w:t xml:space="preserve">Over-concentration on fewer suppliers</w:t>
            </w:r>
          </w:p>
        </w:tc>
        <w:tc>
          <w:tcPr>
            <w:tcW w:w="2243" w:type="dxa"/>
          </w:tcPr>
          <w:p>
            <w:pPr/>
            <w:r>
              <w:t xml:space="preserve">Pricing power shifts to suppliers</w:t>
            </w:r>
          </w:p>
        </w:tc>
        <w:tc>
          <w:tcPr>
            <w:tcW w:w="4458" w:type="dxa"/>
          </w:tcPr>
          <w:p>
            <w:pPr/>
            <w:r>
              <w:t xml:space="preserve">Max share of wallet per category; supplier financial health monitoring</w:t>
            </w:r>
          </w:p>
        </w:tc>
      </w:tr>
      <w:tr>
        <w:tc>
          <w:tcPr>
            <w:tcW w:w="2658" w:type="dxa"/>
          </w:tcPr>
          <w:p>
            <w:pPr/>
            <w:r>
              <w:t xml:space="preserve">Savings leakage (maverick buying)</w:t>
            </w:r>
          </w:p>
        </w:tc>
        <w:tc>
          <w:tcPr>
            <w:tcW w:w="2243" w:type="dxa"/>
          </w:tcPr>
          <w:p>
            <w:pPr/>
            <w:r>
              <w:t xml:space="preserve">Benefits not realized</w:t>
            </w:r>
          </w:p>
        </w:tc>
        <w:tc>
          <w:tcPr>
            <w:tcW w:w="4458" w:type="dxa"/>
          </w:tcPr>
          <w:p>
            <w:pPr/>
            <w:r>
              <w:t xml:space="preserve">Catalog and PO controls; spend compliance KPI</w:t>
            </w:r>
          </w:p>
        </w:tc>
      </w:tr>
      <w:tr>
        <w:tc>
          <w:tcPr>
            <w:tcW w:w="2658" w:type="dxa"/>
          </w:tcPr>
          <w:p>
            <w:pPr/>
            <w:r>
              <w:t xml:space="preserve">Supplier relationship damage</w:t>
            </w:r>
          </w:p>
        </w:tc>
        <w:tc>
          <w:tcPr>
            <w:tcW w:w="2243" w:type="dxa"/>
          </w:tcPr>
          <w:p>
            <w:pPr/>
            <w:r>
              <w:t xml:space="preserve">Credo values, goodwill</w:t>
            </w:r>
          </w:p>
        </w:tc>
        <w:tc>
          <w:tcPr>
            <w:tcW w:w="4458" w:type="dxa"/>
          </w:tcPr>
          <w:p>
            <w:pPr/>
            <w:r>
              <w:t xml:space="preserve">Clear exit notices, transition support, 90-day wind-down</w:t>
            </w:r>
          </w:p>
        </w:tc>
      </w:tr>
    </w:tbl>
    <w:p>
      <w:pPr>
        <w:pStyle w:val="Heading2"/>
      </w:pPr>
      <w:r>
        <w:t xml:space="preserve">Roadmap and KPIs</w:t>
      </w:r>
    </w:p>
    <w:p>
      <w:pPr/>
      <w:r>
        <w:t xml:space="preserve">The rollout runs 36 months in four waves, ordered from lowest risk to highest so savings fund the harder work.</w:t>
      </w:r>
    </w:p>
    <w:p>
      <w:pPr/>
      <w:r>
        <w:drawing>
          <wp:inline distT="0" distB="0" distL="0" distR="0">
            <wp:extent cx="5486400" cy="1673678"/>
            <wp:docPr id="3" name="image3" descr="Rollout plan · 4 phases, 3 gates (diamonds)"/>
            <a:graphic xmlns:a="http://schemas.openxmlformats.org/drawingml/2006/main">
              <a:graphicData uri="http://schemas.openxmlformats.org/drawingml/2006/picture">
                <pic:pic xmlns:pic="http://schemas.openxmlformats.org/drawingml/2006/picture">
                  <pic:nvPicPr>
                    <pic:cNvPr id="3" name="image3" descr="Rollout plan · 4 phases, 3 gates (diamonds)"/>
                    <pic:cNvPicPr/>
                  </pic:nvPicPr>
                  <pic:blipFill>
                    <a:blip r:embed="rId10"/>
                    <a:stretch>
                      <a:fillRect/>
                    </a:stretch>
                  </pic:blipFill>
                  <pic:spPr>
                    <a:xfrm>
                      <a:off x="0" y="0"/>
                      <a:ext cx="5486400" cy="1673678"/>
                    </a:xfrm>
                    <a:prstGeom prst="rect">
                      <a:avLst/>
                    </a:prstGeom>
                  </pic:spPr>
                </pic:pic>
              </a:graphicData>
            </a:graphic>
          </wp:inline>
        </w:drawing>
      </w:r>
    </w:p>
    <w:p>
      <w:pPr/>
      <w:r>
        <w:t xml:space="preserve">Rollout plan · 4 phases, 3 gates (diamonds)</w:t>
      </w:r>
    </w:p>
    <w:tbl>
      <w:tblPr>
        <w:tblStyle w:val="TableGrid"/>
        <w:tblW w:w="0" w:type="auto"/>
        <w:tblLayout w:type="fixed"/>
        <w:tblLook w:val="04A0" w:firstRow="1" w:lastRow="0" w:firstColumn="0" w:lastColumn="0" w:noHBand="0" w:noVBand="1"/>
      </w:tblPr>
      <w:tblGrid>
        <w:gridCol w:w="4448"/>
        <w:gridCol w:w="2056"/>
        <w:gridCol w:w="2855"/>
      </w:tblGrid>
      <w:tr>
        <w:trPr>
          <w:tblHeader/>
        </w:trPr>
        <w:tc>
          <w:tcPr>
            <w:tcW w:w="4448" w:type="dxa"/>
            <w:shd w:val="clear" w:color="auto" w:fill="F2F2F2"/>
          </w:tcPr>
          <w:p>
            <w:pPr/>
            <w:r>
              <w:t xml:space="preserve">KPI</w:t>
            </w:r>
          </w:p>
        </w:tc>
        <w:tc>
          <w:tcPr>
            <w:tcW w:w="2056" w:type="dxa"/>
            <w:shd w:val="clear" w:color="auto" w:fill="F2F2F2"/>
          </w:tcPr>
          <w:p>
            <w:pPr/>
            <w:r>
              <w:t xml:space="preserve">Baseline</w:t>
            </w:r>
          </w:p>
        </w:tc>
        <w:tc>
          <w:tcPr>
            <w:tcW w:w="2855" w:type="dxa"/>
            <w:shd w:val="clear" w:color="auto" w:fill="F2F2F2"/>
          </w:tcPr>
          <w:p>
            <w:pPr/>
            <w:r>
              <w:t xml:space="preserve">Year 3 target</w:t>
            </w:r>
          </w:p>
        </w:tc>
      </w:tr>
      <w:tr>
        <w:tc>
          <w:tcPr>
            <w:tcW w:w="4448" w:type="dxa"/>
          </w:tcPr>
          <w:p>
            <w:pPr/>
            <w:r>
              <w:t xml:space="preserve">Active suppliers</w:t>
            </w:r>
          </w:p>
        </w:tc>
        <w:tc>
          <w:tcPr>
            <w:tcW w:w="2056" w:type="dxa"/>
          </w:tcPr>
          <w:p>
            <w:pPr/>
            <w:r>
              <w:t xml:space="preserve">~39,000 (FY2025)</w:t>
            </w:r>
          </w:p>
        </w:tc>
        <w:tc>
          <w:tcPr>
            <w:tcW w:w="2855" w:type="dxa"/>
          </w:tcPr>
          <w:p>
            <w:pPr/>
            <w:r>
              <w:t xml:space="preserve">~32,100 (Phase 2)</w:t>
            </w:r>
          </w:p>
        </w:tc>
      </w:tr>
      <w:tr>
        <w:tc>
          <w:tcPr>
            <w:tcW w:w="4448" w:type="dxa"/>
          </w:tcPr>
          <w:p>
            <w:pPr/>
            <w:r>
              <w:t xml:space="preserve">Run-rate savings</w:t>
            </w:r>
          </w:p>
        </w:tc>
        <w:tc>
          <w:tcPr>
            <w:tcW w:w="2056" w:type="dxa"/>
          </w:tcPr>
          <w:p>
            <w:pPr/>
            <w:r>
              <w:t xml:space="preserve">$0</w:t>
            </w:r>
          </w:p>
        </w:tc>
        <w:tc>
          <w:tcPr>
            <w:tcW w:w="2855" w:type="dxa"/>
          </w:tcPr>
          <w:p>
            <w:pPr/>
            <w:r>
              <w:t xml:space="preserve">$356M a year (conservative plan); $414M base</w:t>
            </w:r>
          </w:p>
        </w:tc>
      </w:tr>
      <w:tr>
        <w:tc>
          <w:tcPr>
            <w:tcW w:w="4448" w:type="dxa"/>
          </w:tcPr>
          <w:p>
            <w:pPr/>
            <w:r>
              <w:t xml:space="preserve">Spend under contract (MOU / MSA / catalog)</w:t>
            </w:r>
          </w:p>
        </w:tc>
        <w:tc>
          <w:tcPr>
            <w:tcW w:w="2056" w:type="dxa"/>
          </w:tcPr>
          <w:p>
            <w:pPr/>
            <w:r>
              <w:t xml:space="preserve">Not public</w:t>
            </w:r>
          </w:p>
        </w:tc>
        <w:tc>
          <w:tcPr>
            <w:tcW w:w="2855" w:type="dxa"/>
          </w:tcPr>
          <w:p>
            <w:pPr/>
            <w:r>
              <w:t xml:space="preserve">95% of addressable spend</w:t>
            </w:r>
          </w:p>
        </w:tc>
      </w:tr>
      <w:tr>
        <w:tc>
          <w:tcPr>
            <w:tcW w:w="4448" w:type="dxa"/>
          </w:tcPr>
          <w:p>
            <w:pPr/>
            <w:r>
              <w:t xml:space="preserve">Tier 1 diverse supplier spend</w:t>
            </w:r>
          </w:p>
        </w:tc>
        <w:tc>
          <w:tcPr>
            <w:tcW w:w="2056" w:type="dxa"/>
          </w:tcPr>
          <w:p>
            <w:pPr/>
            <w:r>
              <w:t xml:space="preserve">$3B (2022)</w:t>
            </w:r>
          </w:p>
        </w:tc>
        <w:tc>
          <w:tcPr>
            <w:tcW w:w="2855" w:type="dxa"/>
          </w:tcPr>
          <w:p>
            <w:pPr/>
            <w:r>
              <w:t xml:space="preserve">≥ $3B</w:t>
            </w:r>
          </w:p>
        </w:tc>
      </w:tr>
      <w:tr>
        <w:tc>
          <w:tcPr>
            <w:tcW w:w="4448" w:type="dxa"/>
          </w:tcPr>
          <w:p>
            <w:pPr/>
            <w:r>
              <w:t xml:space="preserve">Critical items with 2+ qualified sources</w:t>
            </w:r>
          </w:p>
        </w:tc>
        <w:tc>
          <w:tcPr>
            <w:tcW w:w="2056" w:type="dxa"/>
          </w:tcPr>
          <w:p>
            <w:pPr/>
            <w:r>
              <w:t xml:space="preserve">Not public</w:t>
            </w:r>
          </w:p>
        </w:tc>
        <w:tc>
          <w:tcPr>
            <w:tcW w:w="2855" w:type="dxa"/>
          </w:tcPr>
          <w:p>
            <w:pPr/>
            <w:r>
              <w:t xml:space="preserve">100%</w:t>
            </w:r>
          </w:p>
        </w:tc>
      </w:tr>
      <w:tr>
        <w:tc>
          <w:tcPr>
            <w:tcW w:w="4448" w:type="dxa"/>
          </w:tcPr>
          <w:p>
            <w:pPr/>
            <w:r>
              <w:t xml:space="preserve">Supply disruptions caused by exits</w:t>
            </w:r>
          </w:p>
        </w:tc>
        <w:tc>
          <w:tcPr>
            <w:tcW w:w="2056" w:type="dxa"/>
          </w:tcPr>
          <w:p>
            <w:pPr/>
            <w:r>
              <w:t xml:space="preserve">n/a</w:t>
            </w:r>
          </w:p>
        </w:tc>
        <w:tc>
          <w:tcPr>
            <w:tcW w:w="2855" w:type="dxa"/>
          </w:tcPr>
          <w:p>
            <w:pPr/>
            <w:r>
              <w:t xml:space="preserve">0</w:t>
            </w:r>
          </w:p>
        </w:tc>
      </w:tr>
    </w:tbl>
    <w:p>
      <w:pPr>
        <w:pStyle w:val="Heading2"/>
      </w:pPr>
      <w:r>
        <w:t xml:space="preserve">Deliverables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Deliverable</w:t>
            </w:r>
          </w:p>
        </w:tc>
        <w:tc>
          <w:tcPr>
            <w:tcW w:w="4440" w:type="dxa"/>
            <w:shd w:val="clear" w:color="auto" w:fill="F2F2F2"/>
          </w:tcPr>
          <w:p>
            <w:pPr/>
            <w:r>
              <w:t xml:space="preserve">Where</w:t>
            </w:r>
          </w:p>
        </w:tc>
      </w:tr>
      <w:tr>
        <w:tc>
          <w:tcPr>
            <w:tcW w:w="4920" w:type="dxa"/>
          </w:tcPr>
          <w:p>
            <w:pPr/>
            <w:r>
              <w:t xml:space="preserve">Code, SQL, step write-ups, agreements</w:t>
            </w:r>
          </w:p>
        </w:tc>
        <w:tc>
          <w:tcPr>
            <w:tcW w:w="4440" w:type="dxa"/>
          </w:tcPr>
          <w:p>
            <w:pPr/>
            <w:hyperlink r:id="rId11" w:history="1">
              <w:r>
                <w:rPr>
                  <w:rStyle w:val="Hyperlink"/>
                </w:rPr>
                <w:t xml:space="preserve">GitHub repo</w:t>
              </w:r>
            </w:hyperlink>
          </w:p>
        </w:tc>
      </w:tr>
      <w:tr>
        <w:tc>
          <w:tcPr>
            <w:tcW w:w="4920" w:type="dxa"/>
          </w:tcPr>
          <w:p>
            <w:pPr/>
            <w:r>
              <w:t xml:space="preserve">All step outputs with live formulas and a Files_and_Sources tab</w:t>
            </w:r>
          </w:p>
        </w:tc>
        <w:tc>
          <w:tcPr>
            <w:tcW w:w="4440" w:type="dxa"/>
          </w:tcPr>
          <w:p>
            <w:pPr/>
            <w:hyperlink r:id="rId12" w:history="1">
              <w:r>
                <w:rPr>
                  <w:rStyle w:val="Hyperlink"/>
                </w:rPr>
                <w:t xml:space="preserve">Outputs workbook</w:t>
              </w:r>
            </w:hyperlink>
          </w:p>
        </w:tc>
      </w:tr>
      <w:tr>
        <w:tc>
          <w:tcPr>
            <w:tcW w:w="4920" w:type="dxa"/>
          </w:tcPr>
          <w:p>
            <w:pPr/>
            <w:r>
              <w:t xml:space="preserve">4-page Power BI dashboard (21 DAX measures)</w:t>
            </w:r>
          </w:p>
        </w:tc>
        <w:tc>
          <w:tcPr>
            <w:tcW w:w="4440" w:type="dxa"/>
          </w:tcPr>
          <w:p>
            <w:pPr/>
            <w:hyperlink r:id="rId13" w:history="1">
              <w:r>
                <w:rPr>
                  <w:rStyle w:val="Hyperlink"/>
                </w:rPr>
                <w:t xml:space="preserve">powerbi/</w:t>
              </w:r>
            </w:hyperlink>
          </w:p>
        </w:tc>
      </w:tr>
      <w:tr>
        <w:tc>
          <w:tcPr>
            <w:tcW w:w="4920" w:type="dxa"/>
          </w:tcPr>
          <w:p>
            <w:pPr/>
            <w:r>
              <w:t xml:space="preserve">Verified J&amp;J suppliers from SEC filings</w:t>
            </w:r>
          </w:p>
        </w:tc>
        <w:tc>
          <w:tcPr>
            <w:tcW w:w="4440" w:type="dxa"/>
          </w:tcPr>
          <w:p>
            <w:pPr/>
            <w:hyperlink r:id="rId14" w:history="1">
              <w:r>
                <w:rPr>
                  <w:rStyle w:val="Hyperlink"/>
                </w:rPr>
                <w:t xml:space="preserve">docs/07_real_jnj_suppliers.md</w:t>
              </w:r>
            </w:hyperlink>
          </w:p>
        </w:tc>
      </w:tr>
      <w:tr>
        <w:tc>
          <w:tcPr>
            <w:tcW w:w="4920" w:type="dxa"/>
          </w:tcPr>
          <w:p>
            <w:pPr/>
            <w:r>
              <w:t xml:space="preserve">Raw data to decision trace (344,504 rows)</w:t>
            </w:r>
          </w:p>
        </w:tc>
        <w:tc>
          <w:tcPr>
            <w:tcW w:w="4440" w:type="dxa"/>
          </w:tcPr>
          <w:p>
            <w:pPr/>
            <w:r>
              <w:t xml:space="preserve">Rebuilt with scripts/build_data_workbook.py (100 MB, outside git)</w:t>
            </w:r>
          </w:p>
        </w:tc>
      </w:tr>
    </w:tbl>
    <w:p>
      <w:pPr>
        <w:pStyle w:val="Heading2"/>
      </w:pPr>
      <w:r>
        <w:t xml:space="preserve">Assumptions and sources</w:t>
      </w:r>
    </w:p>
    <w:p>
      <w:pPr/>
      <w:r>
        <w:t xml:space="preserve">All figures not linked below are modeling assumptions, chosen to be conservative and easy to change.</w:t>
      </w:r>
    </w:p>
    <w:tbl>
      <w:tblPr>
        <w:tblStyle w:val="TableGrid"/>
        <w:tblW w:w="0" w:type="auto"/>
        <w:tblLayout w:type="fixed"/>
        <w:tblLook w:val="04A0" w:firstRow="1" w:lastRow="0" w:firstColumn="0" w:lastColumn="0" w:noHBand="0" w:noVBand="1"/>
      </w:tblPr>
      <w:tblGrid>
        <w:gridCol w:w="4447"/>
        <w:gridCol w:w="4912"/>
      </w:tblGrid>
      <w:tr>
        <w:trPr>
          <w:tblHeader/>
        </w:trPr>
        <w:tc>
          <w:tcPr>
            <w:tcW w:w="4447" w:type="dxa"/>
            <w:shd w:val="clear" w:color="auto" w:fill="F2F2F2"/>
          </w:tcPr>
          <w:p>
            <w:pPr/>
            <w:r>
              <w:t xml:space="preserve">Assumption</w:t>
            </w:r>
          </w:p>
        </w:tc>
        <w:tc>
          <w:tcPr>
            <w:tcW w:w="4912" w:type="dxa"/>
            <w:shd w:val="clear" w:color="auto" w:fill="F2F2F2"/>
          </w:tcPr>
          <w:p>
            <w:pPr/>
            <w:r>
              <w:t xml:space="preserve">Value</w:t>
            </w:r>
          </w:p>
        </w:tc>
      </w:tr>
      <w:tr>
        <w:tc>
          <w:tcPr>
            <w:tcW w:w="4447" w:type="dxa"/>
          </w:tcPr>
          <w:p>
            <w:pPr/>
            <w:r>
              <w:t xml:space="preserve">Addressable spend</w:t>
            </w:r>
          </w:p>
        </w:tc>
        <w:tc>
          <w:tcPr>
            <w:tcW w:w="4912" w:type="dxa"/>
          </w:tcPr>
          <w:p>
            <w:pPr/>
            <w:r>
              <w:t xml:space="preserve">$35B</w:t>
            </w:r>
          </w:p>
        </w:tc>
      </w:tr>
      <w:tr>
        <w:tc>
          <w:tcPr>
            <w:tcW w:w="4447" w:type="dxa"/>
          </w:tcPr>
          <w:p>
            <w:pPr/>
            <w:r>
              <w:t xml:space="preserve">Suppliers</w:t>
            </w:r>
          </w:p>
        </w:tc>
        <w:tc>
          <w:tcPr>
            <w:tcW w:w="4912" w:type="dxa"/>
          </w:tcPr>
          <w:p>
            <w:pPr/>
            <w:r>
              <w:t xml:space="preserve">80,000 (earlier); ~39,000 (FY2025)</w:t>
            </w:r>
          </w:p>
        </w:tc>
      </w:tr>
      <w:tr>
        <w:tc>
          <w:tcPr>
            <w:tcW w:w="4447" w:type="dxa"/>
          </w:tcPr>
          <w:p>
            <w:pPr/>
            <w:r>
              <w:t xml:space="preserve">Segment split (suppliers / spend)</w:t>
            </w:r>
          </w:p>
        </w:tc>
        <w:tc>
          <w:tcPr>
            <w:tcW w:w="4912" w:type="dxa"/>
          </w:tcPr>
          <w:p>
            <w:pPr/>
            <w:r>
              <w:t xml:space="preserve">A 2% / 70%, B 13% / 22%, C 85% / 8%</w:t>
            </w:r>
          </w:p>
        </w:tc>
      </w:tr>
      <w:tr>
        <w:tc>
          <w:tcPr>
            <w:tcW w:w="4447" w:type="dxa"/>
          </w:tcPr>
          <w:p>
            <w:pPr/>
            <w:r>
              <w:t xml:space="preserve">Price savings on addressed spend</w:t>
            </w:r>
          </w:p>
        </w:tc>
        <w:tc>
          <w:tcPr>
            <w:tcW w:w="4912" w:type="dxa"/>
          </w:tcPr>
          <w:p>
            <w:pPr/>
            <w:r>
              <w:t xml:space="preserve">A 0.5%, B 5%, C 8%</w:t>
            </w:r>
          </w:p>
        </w:tc>
      </w:tr>
      <w:tr>
        <w:tc>
          <w:tcPr>
            <w:tcW w:w="4447" w:type="dxa"/>
          </w:tcPr>
          <w:p>
            <w:pPr/>
            <w:r>
              <w:t xml:space="preserve">Annual cost to maintain one supplier</w:t>
            </w:r>
          </w:p>
        </w:tc>
        <w:tc>
          <w:tcPr>
            <w:tcW w:w="4912" w:type="dxa"/>
          </w:tcPr>
          <w:p>
            <w:pPr/>
            <w:r>
              <w:t xml:space="preserve">$2,000</w:t>
            </w:r>
          </w:p>
        </w:tc>
      </w:tr>
      <w:tr>
        <w:tc>
          <w:tcPr>
            <w:tcW w:w="4447" w:type="dxa"/>
          </w:tcPr>
          <w:p>
            <w:pPr/>
            <w:r>
              <w:t xml:space="preserve">Transition cost per exited supplier</w:t>
            </w:r>
          </w:p>
        </w:tc>
        <w:tc>
          <w:tcPr>
            <w:tcW w:w="4912" w:type="dxa"/>
          </w:tcPr>
          <w:p>
            <w:pPr/>
            <w:r>
              <w:t xml:space="preserve">B $25,000, C $500</w:t>
            </w:r>
          </w:p>
        </w:tc>
      </w:tr>
      <w:tr>
        <w:tc>
          <w:tcPr>
            <w:tcW w:w="4447" w:type="dxa"/>
          </w:tcPr>
          <w:p>
            <w:pPr/>
            <w:r>
              <w:t xml:space="preserve">Program + legal</w:t>
            </w:r>
          </w:p>
        </w:tc>
        <w:tc>
          <w:tcPr>
            <w:tcW w:w="4912" w:type="dxa"/>
          </w:tcPr>
          <w:p>
            <w:pPr/>
            <w:r>
              <w:t xml:space="preserve">$15M + $5M, plus 15% contingency</w:t>
            </w:r>
          </w:p>
        </w:tc>
      </w:tr>
      <w:tr>
        <w:tc>
          <w:tcPr>
            <w:tcW w:w="4447" w:type="dxa"/>
          </w:tcPr>
          <w:p>
            <w:pPr/>
            <w:r>
              <w:t xml:space="preserve">Savings ramp</w:t>
            </w:r>
          </w:p>
        </w:tc>
        <w:tc>
          <w:tcPr>
            <w:tcW w:w="4912" w:type="dxa"/>
          </w:tcPr>
          <w:p>
            <w:pPr/>
            <w:r>
              <w:t xml:space="preserve">30% / 70% / 100% (years 1–3)</w:t>
            </w:r>
          </w:p>
        </w:tc>
      </w:tr>
      <w:tr>
        <w:tc>
          <w:tcPr>
            <w:tcW w:w="4447" w:type="dxa"/>
          </w:tcPr>
          <w:p>
            <w:pPr/>
            <w:r>
              <w:t xml:space="preserve">Discount rate</w:t>
            </w:r>
          </w:p>
        </w:tc>
        <w:tc>
          <w:tcPr>
            <w:tcW w:w="4912" w:type="dxa"/>
          </w:tcPr>
          <w:p>
            <w:pPr/>
            <w:r>
              <w:t xml:space="preserve">8%</w:t>
            </w:r>
          </w:p>
        </w:tc>
      </w:tr>
    </w:tbl>
    <w:p>
      <w:pPr/>
      <w:r>
        <w:t xml:space="preserve">Sources:</w:t>
      </w:r>
    </w:p>
    <w:p>
      <w:pPr>
        <w:pStyle w:val="ListParagraph"/>
        <w:numPr>
          <w:ilvl w:val="0"/>
          <w:numId w:val="5"/>
        </w:numPr>
      </w:pPr>
      <w:hyperlink r:id="rId5" w:history="1">
        <w:r>
          <w:rPr>
            <w:rStyle w:val="Hyperlink"/>
          </w:rPr>
          <w:t xml:space="preserve">J&amp;J 2024 Health for Humanity Report</w:t>
        </w:r>
      </w:hyperlink>
    </w:p>
    <w:p>
      <w:pPr>
        <w:pStyle w:val="ListParagraph"/>
        <w:numPr>
          <w:ilvl w:val="0"/>
          <w:numId w:val="5"/>
        </w:numPr>
      </w:pPr>
      <w:hyperlink r:id="rId15" w:history="1">
        <w:r>
          <w:rPr>
            <w:rStyle w:val="Hyperlink"/>
          </w:rPr>
          <w:t xml:space="preserve">J&amp;J 2023 Health for Humanity Report</w:t>
        </w:r>
      </w:hyperlink>
    </w:p>
    <w:p>
      <w:pPr>
        <w:pStyle w:val="ListParagraph"/>
        <w:numPr>
          <w:ilvl w:val="0"/>
          <w:numId w:val="5"/>
        </w:numPr>
      </w:pPr>
      <w:hyperlink r:id="rId16" w:history="1">
        <w:r>
          <w:rPr>
            <w:rStyle w:val="Hyperlink"/>
          </w:rPr>
          <w:t xml:space="preserve">J&amp;J careers: Director, Procurement Global Process Owner</w:t>
        </w:r>
      </w:hyperlink>
    </w:p>
    <w:p>
      <w:pPr>
        <w:pStyle w:val="ListParagraph"/>
        <w:numPr>
          <w:ilvl w:val="0"/>
          <w:numId w:val="5"/>
        </w:numPr>
      </w:pPr>
      <w:hyperlink r:id="rId17" w:history="1">
        <w:r>
          <w:rPr>
            <w:rStyle w:val="Hyperlink"/>
          </w:rPr>
          <w:t xml:space="preserve">J&amp;J: DEI in our supply base (2022)</w:t>
        </w:r>
      </w:hyperlink>
    </w:p>
    <w:p>
      <w:pPr>
        <w:pStyle w:val="ListParagraph"/>
        <w:numPr>
          <w:ilvl w:val="0"/>
          <w:numId w:val="5"/>
        </w:numPr>
      </w:pPr>
      <w:hyperlink r:id="rId18" w:history="1">
        <w:r>
          <w:rPr>
            <w:rStyle w:val="Hyperlink"/>
          </w:rPr>
          <w:t xml:space="preserve">J&amp;J 2023: Supplier diversity and inclusion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tateofflux.co.uk/case-studies/johnson-and-johnson" TargetMode="External"/><Relationship Id="rId4" Type="http://schemas.openxmlformats.org/officeDocument/2006/relationships/hyperlink" Target="https://storymaps.arcgis.com/stories/efd9fb73ac4f4e8082036d6296aea5a2" TargetMode="External"/><Relationship Id="rId5" Type="http://schemas.openxmlformats.org/officeDocument/2006/relationships/hyperlink" Target="https://healthforhumanityreport.jnj.com/2024/_assets/downloads/johnson-johnson-2024-health-for-humanity-report.pdf?h=EDX6Vl9g" TargetMode="External"/><Relationship Id="rId6" Type="http://schemas.openxmlformats.org/officeDocument/2006/relationships/hyperlink" Target="https://www.jnj.com/innovativemedicine/uk/global-modern-slavery-act-statement"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github.com/hemant-singla/jnj-supplier-rationalization/tree/main/docs/agreements" TargetMode="External"/><Relationship Id="rId10" Type="http://schemas.openxmlformats.org/officeDocument/2006/relationships/image" Target="media/image3.png"/><Relationship Id="rId11" Type="http://schemas.openxmlformats.org/officeDocument/2006/relationships/hyperlink" Target="https://github.com/hemant-singla/jnj-supplier-rationalization" TargetMode="External"/><Relationship Id="rId12" Type="http://schemas.openxmlformats.org/officeDocument/2006/relationships/hyperlink" Target="https://github.com/hemant-singla/jnj-supplier-rationalization/blob/main/outputs/JnJ_Supplier_Rationalization_Outputs.xlsx" TargetMode="External"/><Relationship Id="rId13" Type="http://schemas.openxmlformats.org/officeDocument/2006/relationships/hyperlink" Target="https://github.com/hemant-singla/jnj-supplier-rationalization/tree/main/powerbi" TargetMode="External"/><Relationship Id="rId14" Type="http://schemas.openxmlformats.org/officeDocument/2006/relationships/hyperlink" Target="https://github.com/hemant-singla/jnj-supplier-rationalization/blob/main/docs/07_real_jnj_suppliers.md" TargetMode="External"/><Relationship Id="rId15" Type="http://schemas.openxmlformats.org/officeDocument/2006/relationships/hyperlink" Target="https://healthforhumanityreport.jnj.com/2023/_assets/downloads/johnson-johnson-2023-health-for-humanity-report.pdf?h=Ka9OvM1t" TargetMode="External"/><Relationship Id="rId16" Type="http://schemas.openxmlformats.org/officeDocument/2006/relationships/hyperlink" Target="https://www.careers.jnj.com/en/jobs/r-088156/director-procurement-global-process-owner/" TargetMode="External"/><Relationship Id="rId17" Type="http://schemas.openxmlformats.org/officeDocument/2006/relationships/hyperlink" Target="https://belong.jnj.com/2022/driving-innovation/dei-in-our-supply-base.html" TargetMode="External"/><Relationship Id="rId18" Type="http://schemas.openxmlformats.org/officeDocument/2006/relationships/hyperlink" Target="https://healthforhumanityreport.jnj.com/2023/accountability-innovation/responsible-supply-base/supplier-diversity-and-inclusion.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J&amp;J Supplier Rationalization Business Case</dc:title>
  <dc:description>Claude Docs node/9b79a131-c5bc@21 docx-w7</dc:description>
  <cp:revision>21</cp:revision>
</cp:coreProperties>
</file>