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RAG Test Suite: Project Omniscience</w:t>
      </w:r>
    </w:p>
    <w:p>
      <w:pPr>
        <w:pStyle w:val="Heading1"/>
      </w:pPr>
      <w:r>
        <w:t>1. System Architecture</w:t>
      </w:r>
    </w:p>
    <w:p>
      <w:r>
        <w:t>The Omniscience engine operates on a distributed neural-symbolic layer. Unlike standard architectures, it utilizes the 'Hyperion-7' protocol for data ingestion, which shards data into 128-bit 'quantum-cells'.</w:t>
      </w:r>
    </w:p>
    <w:p>
      <w:r>
        <w:t>Important: The system's primary latency bottleneck is the 'Sigma-Gate' located in the US-East-2 region. If latency exceeds 45ms, the system automatically reverts to the 'Legacy-Fallback' mode.</w:t>
      </w:r>
    </w:p>
    <w:p>
      <w:pPr>
        <w:pStyle w:val="Heading1"/>
      </w:pPr>
      <w:r>
        <w:t>2. Regional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 ID</w:t>
            </w:r>
          </w:p>
        </w:tc>
        <w:tc>
          <w:tcPr>
            <w:tcW w:type="dxa" w:w="2160"/>
          </w:tcPr>
          <w:p>
            <w:r>
              <w:t>Active Nodes</w:t>
            </w:r>
          </w:p>
        </w:tc>
        <w:tc>
          <w:tcPr>
            <w:tcW w:type="dxa" w:w="2160"/>
          </w:tcPr>
          <w:p>
            <w:r>
              <w:t>Avg Throughput</w:t>
            </w:r>
          </w:p>
        </w:tc>
        <w:tc>
          <w:tcPr>
            <w:tcW w:type="dxa" w:w="2160"/>
          </w:tcPr>
          <w:p>
            <w:r>
              <w:t>Security Tier</w:t>
            </w:r>
          </w:p>
        </w:tc>
      </w:tr>
      <w:tr>
        <w:tc>
          <w:tcPr>
            <w:tcW w:type="dxa" w:w="2160"/>
          </w:tcPr>
          <w:p>
            <w:r>
              <w:t>EU-WEST-1</w:t>
            </w:r>
          </w:p>
        </w:tc>
        <w:tc>
          <w:tcPr>
            <w:tcW w:type="dxa" w:w="2160"/>
          </w:tcPr>
          <w:p>
            <w:r>
              <w:t>452</w:t>
            </w:r>
          </w:p>
        </w:tc>
        <w:tc>
          <w:tcPr>
            <w:tcW w:type="dxa" w:w="2160"/>
          </w:tcPr>
          <w:p>
            <w:r>
              <w:t>1.2 TB/s</w:t>
            </w:r>
          </w:p>
        </w:tc>
        <w:tc>
          <w:tcPr>
            <w:tcW w:type="dxa" w:w="2160"/>
          </w:tcPr>
          <w:p>
            <w:r>
              <w:t>Tier 4</w:t>
            </w:r>
          </w:p>
        </w:tc>
      </w:tr>
      <w:tr>
        <w:tc>
          <w:tcPr>
            <w:tcW w:type="dxa" w:w="2160"/>
          </w:tcPr>
          <w:p>
            <w:r>
              <w:t>US-EAST-2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0.8 TB/s</w:t>
            </w:r>
          </w:p>
        </w:tc>
        <w:tc>
          <w:tcPr>
            <w:tcW w:type="dxa" w:w="2160"/>
          </w:tcPr>
          <w:p>
            <w:r>
              <w:t>Tier 5</w:t>
            </w:r>
          </w:p>
        </w:tc>
      </w:tr>
      <w:tr>
        <w:tc>
          <w:tcPr>
            <w:tcW w:type="dxa" w:w="2160"/>
          </w:tcPr>
          <w:p>
            <w:r>
              <w:t>AP-SOUTH-1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2.4 TB/s</w:t>
            </w:r>
          </w:p>
        </w:tc>
        <w:tc>
          <w:tcPr>
            <w:tcW w:type="dxa" w:w="2160"/>
          </w:tcPr>
          <w:p>
            <w:r>
              <w:t>Tier 3</w:t>
            </w:r>
          </w:p>
        </w:tc>
      </w:tr>
      <w:tr>
        <w:tc>
          <w:tcPr>
            <w:tcW w:type="dxa" w:w="2160"/>
          </w:tcPr>
          <w:p>
            <w:r>
              <w:t>SA-EAST-1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0.4 TB/s</w:t>
            </w:r>
          </w:p>
        </w:tc>
        <w:tc>
          <w:tcPr>
            <w:tcW w:type="dxa" w:w="2160"/>
          </w:tcPr>
          <w:p>
            <w:r>
              <w:t>Tier 2</w:t>
            </w:r>
          </w:p>
        </w:tc>
      </w:tr>
    </w:tbl>
    <w:p>
      <w:pPr>
        <w:pStyle w:val="Heading1"/>
      </w:pPr>
      <w:r>
        <w:t>3. Security &amp; Access Protocols</w:t>
      </w:r>
    </w:p>
    <w:p>
      <w:pPr>
        <w:pStyle w:val="Heading2"/>
      </w:pPr>
      <w:r>
        <w:t>3.1 Employee Clearances</w:t>
      </w:r>
    </w:p>
    <w:p>
      <w:r>
        <w:t>Clearance levels are determined by the 'Golden-Rule' logic:</w:t>
      </w:r>
    </w:p>
    <w:p>
      <w:pPr>
        <w:pStyle w:val="ListBullet"/>
      </w:pPr>
      <w:r>
        <w:t>Level Alpha: Full access to Sigma-Gate.</w:t>
      </w:r>
    </w:p>
    <w:p>
      <w:pPr>
        <w:pStyle w:val="ListBullet"/>
      </w:pPr>
      <w:r>
        <w:t>Level Beta: Access to Regional Performance Metrics but NO access to Sigma-Gate.</w:t>
      </w:r>
    </w:p>
    <w:p>
      <w:pPr>
        <w:pStyle w:val="ListBullet"/>
      </w:pPr>
      <w:r>
        <w:t>Level Gamma: Read-only access to log files.</w:t>
      </w:r>
    </w:p>
    <w:p>
      <w:pPr>
        <w:pStyle w:val="Heading1"/>
      </w:pPr>
      <w:r>
        <w:t>4. System Event Logs (Last 24 Hours)</w:t>
      </w:r>
    </w:p>
    <w:p>
      <w:r>
        <w:rPr>
          <w:rFonts w:ascii="Courier New" w:hAnsi="Courier New"/>
        </w:rPr>
        <w:t>2026-01-10 08:00:01 INFO: System Heartbeat OK.</w:t>
        <w:br/>
        <w:t>2026-01-10 09:15:22 WARN: Sigma-Gate latency at 42ms.</w:t>
        <w:br/>
        <w:t>2026-01-10 10:05:10 ERROR: Unauthorized access attempt by USER_882.</w:t>
        <w:br/>
        <w:t>2026-01-10 11:30:00 CRITICAL: US-EAST-2 dropped to 0.2 TB/s. Reverting to Legacy-Fallback.</w:t>
        <w:br/>
        <w:t>2026-01-10 14:00:00 INFO: Maintenance complete.</w:t>
      </w:r>
    </w:p>
    <w:p>
      <w:pPr>
        <w:pStyle w:val="Heading1"/>
      </w:pPr>
      <w:r>
        <w:t>5. Appendix: Known Anomalies</w:t>
      </w:r>
    </w:p>
    <w:p>
      <w:r>
        <w:t>Note: While Section 1 states US-East-2 is the bottleneck, internal testing on Dec 20, 2025, suggested that AP-SOUTH-1 might actually be the bottleneck during monsoon seasons due to undersea cable vibrations.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