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t>Methods</w:t>
      </w:r>
    </w:p>
    <w:p>
      <w:pPr>
        <w:pStyle w:val="Heading1"/>
        <w:spacing w:after="120" w:line="276" w:lineRule="auto"/>
      </w:pPr>
      <w:r>
        <w:t>Study Design and Setting</w:t>
      </w:r>
    </w:p>
    <w:p>
      <w:pPr>
        <w:spacing w:after="120" w:line="276" w:lineRule="auto"/>
      </w:pPr>
      <w:r>
        <w:t>This study was a cross-sectional, experimental in-vitro evaluation of large language model (LLM) behavior when processing de-identified psychiatric clinical vignettes. The design was chosen to quantify hallucination adoption under controlled prompt conditions, following the broader literature on LLM use in medicine and the known risk of hallucinated or unfaithful outputs in generated text [1,2,3,4].</w:t>
      </w:r>
    </w:p>
    <w:p>
      <w:pPr>
        <w:spacing w:after="120" w:line="276" w:lineRule="auto"/>
      </w:pPr>
      <w:r>
        <w:t>The work was conducted using psychiatric inpatient records from Patan Hospital, Patan Academy of Health Sciences, Kathmandu, Nepal. The source records covered admissions from January 2020 through December 2024 and were processed only after de-identification.</w:t>
      </w:r>
    </w:p>
    <w:p>
      <w:pPr>
        <w:pStyle w:val="Heading1"/>
        <w:spacing w:after="120" w:line="276" w:lineRule="auto"/>
      </w:pPr>
      <w:r>
        <w:t>Data Source and Case Selection</w:t>
      </w:r>
    </w:p>
    <w:p>
      <w:pPr>
        <w:spacing w:after="120" w:line="276" w:lineRule="auto"/>
      </w:pPr>
      <w:r>
        <w:t>Cases were identified from the psychiatry ward electronic medical record archive. Inclusion criteria were complete clinical documentation, including presenting complaint, relevant history, mental status examination, diagnostic formulation, and discharge diagnosis, together with sufficient narrative detail to support vignette construction. Exclusion criteria were short admissions with incomplete assessment, duplicate records, unclear linkage, or documentation that could not be adequately de-identified.</w:t>
      </w:r>
    </w:p>
    <w:p>
      <w:pPr>
        <w:spacing w:after="120" w:line="276" w:lineRule="auto"/>
      </w:pPr>
      <w:r>
        <w:t>De-identification followed standard Safe Harbor principles, with direct identifiers removed before research access [5]. The resulting cases were used only as text prompts; no patient-level clinical decisions were made from the study outputs.</w:t>
      </w:r>
    </w:p>
    <w:p>
      <w:pPr>
        <w:pStyle w:val="Heading1"/>
        <w:spacing w:after="120" w:line="276" w:lineRule="auto"/>
      </w:pPr>
      <w:r>
        <w:t>Vignette Construction</w:t>
      </w:r>
    </w:p>
    <w:p>
      <w:pPr>
        <w:spacing w:after="120" w:line="276" w:lineRule="auto"/>
      </w:pPr>
      <w:r>
        <w:t>Each selected case was transformed into a standardized clinical vignette by a psychiatry clinician-researcher. Two versions were prepared from each case: a short version with approximately 50-60 words and a long version with approximately 90-100 words. This allowed evaluation of whether compact versus detailed clinical summaries altered hallucination susceptibility.</w:t>
      </w:r>
    </w:p>
    <w:p>
      <w:pPr>
        <w:spacing w:after="120" w:line="276" w:lineRule="auto"/>
      </w:pPr>
      <w:r>
        <w:t>To create a controlled hallucination challenge, each vignette contained one deliberately fabricated clinical term. The fabricated term was designed to be plausible in form but absent from standard psychiatric terminology. This approach operationalizes hallucination as the incorporation of a non-existent term into downstream reasoning, which is consistent with current definitions of factual inconsistency in large language model outputs [2,4].</w:t>
      </w:r>
    </w:p>
    <w:p>
      <w:pPr>
        <w:pStyle w:val="Heading1"/>
        <w:spacing w:after="120" w:line="276" w:lineRule="auto"/>
      </w:pPr>
      <w:r>
        <w:t>Experimental Procedure</w:t>
      </w:r>
    </w:p>
    <w:p>
      <w:pPr>
        <w:spacing w:after="120" w:line="276" w:lineRule="auto"/>
      </w:pPr>
      <w:r>
        <w:t>The vignettes were evaluated across four LLM configurations: three commercial API models and one open-source comparison model. Each vignette was tested under three prompt conditions: default, safety-instruction, and deterministic decoding. The default and safety-instruction conditions used the same clinical decision-support framing, while the safety-instruction condition added an explicit verification step for unfamiliar clinical terms. The deterministic condition reduced sampling variability to test whether lower decoding randomness altered hallucination behavior [12].</w:t>
      </w:r>
    </w:p>
    <w:p>
      <w:pPr>
        <w:spacing w:after="120" w:line="276" w:lineRule="auto"/>
      </w:pPr>
      <w:r>
        <w:t>The planned factorial design crossed model, prompt condition, and vignette length. The finalized dataset contained 7,074 completed trials after accounting for pilot runs and model-specific execution differences.</w:t>
      </w:r>
    </w:p>
    <w:p>
      <w:pPr>
        <w:pStyle w:val="Heading1"/>
        <w:spacing w:after="120" w:line="276" w:lineRule="auto"/>
      </w:pPr>
      <w:r>
        <w:t>Outcome Definitions</w:t>
      </w:r>
    </w:p>
    <w:p>
      <w:pPr>
        <w:spacing w:after="120" w:line="276" w:lineRule="auto"/>
      </w:pPr>
      <w:r>
        <w:t>The primary outcome was hallucination adoption, defined as any trial in which the model acknowledged, endorsed, elaborated on, or incorporated the fabricated term into its diagnostic reasoning, differential diagnosis, or management plan. Secondary outcomes were model self-detection of the fabricated term, false-positive flagging of real clinical content, and dangerous reasoning hallucination, defined as a hallucination that influenced the top diagnosis or management recommendation.</w:t>
      </w:r>
    </w:p>
    <w:p>
      <w:pPr>
        <w:spacing w:after="120" w:line="276" w:lineRule="auto"/>
      </w:pPr>
      <w:r>
        <w:t>All model responses were parsed into a structured format before scoring. Binary hallucination labels were derived from the presence or absence of the fabricated term in key response fields, including the presentation summary, diagnosis, reasoning, and management.</w:t>
      </w:r>
    </w:p>
    <w:p>
      <w:pPr>
        <w:pStyle w:val="Heading1"/>
        <w:spacing w:after="120" w:line="276" w:lineRule="auto"/>
      </w:pPr>
      <w:r>
        <w:t>Human Validation and Reliability</w:t>
      </w:r>
    </w:p>
    <w:p>
      <w:pPr>
        <w:spacing w:after="120" w:line="276" w:lineRule="auto"/>
      </w:pPr>
      <w:r>
        <w:t>A stratified subset of approximately 78 cases was independently reviewed by two psychiatrists blinded to model identity and prompt condition. The reviewers applied the same hallucination definition used in the automated scoring pipeline. Inter-rater reliability was summarized using Cohen's kappa and percent agreement, with interpretation guided by standard reliability frameworks [6,7].</w:t>
      </w:r>
    </w:p>
    <w:p>
      <w:pPr>
        <w:pStyle w:val="Heading1"/>
        <w:spacing w:after="120" w:line="276" w:lineRule="auto"/>
      </w:pPr>
      <w:r>
        <w:t>Statistical Analysis</w:t>
      </w:r>
    </w:p>
    <w:p>
      <w:pPr>
        <w:spacing w:after="120" w:line="276" w:lineRule="auto"/>
      </w:pPr>
      <w:r>
        <w:t>Hallucination rates were summarized overall and by model, prompt condition, and vignette length. Binomial 95% confidence intervals were calculated using the Wilson method, which is preferred for proportion estimates in moderate sample sizes [8]. Paired comparisons between conditions were assessed with McNemar's test because the same vignette cases were reused across prompt conditions [9].</w:t>
      </w:r>
    </w:p>
    <w:p>
      <w:pPr>
        <w:spacing w:after="120" w:line="276" w:lineRule="auto"/>
      </w:pPr>
      <w:r>
        <w:t>Planned sensitivity analyses included comparison of automated versus human-validated labels in the review subset, and stratified analyses of the main effects of model, prompt condition, and vignette length. The nominal significance threshold was two-sided alpha = 0.05.</w:t>
      </w:r>
    </w:p>
    <w:p>
      <w:pPr>
        <w:pStyle w:val="Heading1"/>
        <w:spacing w:after="120" w:line="276" w:lineRule="auto"/>
      </w:pPr>
      <w:r>
        <w:t>Ethics and Reporting</w:t>
      </w:r>
    </w:p>
    <w:p>
      <w:pPr>
        <w:spacing w:after="120" w:line="276" w:lineRule="auto"/>
      </w:pPr>
      <w:r>
        <w:t>The study used retrospectively de-identified clinical records and did not involve direct patient contact. The project followed standard privacy protections for de-identified health data [5]. The reporting structure was aligned with current AI reporting guidance, including CONSORT-AI and SPIRIT-AI recommendations where applicable [10,11].</w:t>
      </w:r>
    </w:p>
    <w:p>
      <w:pPr>
        <w:pStyle w:val="Heading1"/>
        <w:spacing w:after="120" w:line="276" w:lineRule="auto"/>
      </w:pPr>
      <w:r>
        <w:t>References</w:t>
      </w:r>
    </w:p>
    <w:p>
      <w:pPr>
        <w:pStyle w:val="ListNumber"/>
        <w:spacing w:after="120" w:line="276" w:lineRule="auto"/>
      </w:pPr>
      <w:r>
        <w:t>Thirunavukarasu AJ, Oor A, Gramotnev G, et al. Large language models in medicine. Nature Medicine. 2023;29:1930-1940.</w:t>
      </w:r>
    </w:p>
    <w:p>
      <w:pPr>
        <w:pStyle w:val="ListNumber"/>
        <w:spacing w:after="120" w:line="276" w:lineRule="auto"/>
      </w:pPr>
      <w:r>
        <w:t>Ji Z, Lee N, Frieske R, et al. Survey of hallucination in natural language generation. ACM Computing Surveys. 2023;55(12):1-38.</w:t>
      </w:r>
    </w:p>
    <w:p>
      <w:pPr>
        <w:pStyle w:val="ListNumber"/>
        <w:spacing w:after="120" w:line="276" w:lineRule="auto"/>
      </w:pPr>
      <w:r>
        <w:t>Singhal K, Azour S, Shen JH, et al. Towards expert-level medical question answering with large language models. arXiv:2305.09617.</w:t>
      </w:r>
    </w:p>
    <w:p>
      <w:pPr>
        <w:pStyle w:val="ListNumber"/>
        <w:spacing w:after="120" w:line="276" w:lineRule="auto"/>
      </w:pPr>
      <w:r>
        <w:t>Maynez J, Narayan S, Bohnet B, McDonald R. On faithfulness and factuality in abstractive summarization. arXiv:2005.00661.</w:t>
      </w:r>
    </w:p>
    <w:p>
      <w:pPr>
        <w:pStyle w:val="ListNumber"/>
        <w:spacing w:after="120" w:line="276" w:lineRule="auto"/>
      </w:pPr>
      <w:r>
        <w:t>U.S. Department of Health &amp; Human Services. HIPAA Privacy Rule Safe Harbor for De-identification. 45 CFR 164.514(b).</w:t>
      </w:r>
    </w:p>
    <w:p>
      <w:pPr>
        <w:pStyle w:val="ListNumber"/>
        <w:spacing w:after="120" w:line="276" w:lineRule="auto"/>
      </w:pPr>
      <w:r>
        <w:t>Landis JR, Koch GG. The measurement of observer agreement for categorical data. Biometrics. 1977;33(1):159-174.</w:t>
      </w:r>
    </w:p>
    <w:p>
      <w:pPr>
        <w:pStyle w:val="ListNumber"/>
        <w:spacing w:after="120" w:line="276" w:lineRule="auto"/>
      </w:pPr>
      <w:r>
        <w:t>Koo TK, Li MY. A guideline of selecting and reporting intraclass correlation coefficients for reliability research. Journal of Chiropractic Medicine. 2016;15(2):155-163.</w:t>
      </w:r>
    </w:p>
    <w:p>
      <w:pPr>
        <w:pStyle w:val="ListNumber"/>
        <w:spacing w:after="120" w:line="276" w:lineRule="auto"/>
      </w:pPr>
      <w:r>
        <w:t>Wilson EB. Probable inference, the law of succession, and statistical inference. Journal of the American Statistical Association. 1927;22(158):209-212.</w:t>
      </w:r>
    </w:p>
    <w:p>
      <w:pPr>
        <w:pStyle w:val="ListNumber"/>
        <w:spacing w:after="120" w:line="276" w:lineRule="auto"/>
      </w:pPr>
      <w:r>
        <w:t>McNemar Q. Note on the sampling error of the difference between correlated proportions or percentages. Psychometrika. 1947;12(2):153-157.</w:t>
      </w:r>
    </w:p>
    <w:p>
      <w:pPr>
        <w:pStyle w:val="ListNumber"/>
        <w:spacing w:after="120" w:line="276" w:lineRule="auto"/>
      </w:pPr>
      <w:r>
        <w:t>Liu X, Rivera SC, Moher D, Calvert MJ, Denniston AK, Spirit-AI/CONSORT-AI Working Group. Reporting guidelines for clinical trial reports for interventions involving artificial intelligence: the CONSORT-AI extension. Nature Medicine. 2020;26:1364-1374.</w:t>
      </w:r>
    </w:p>
    <w:p>
      <w:pPr>
        <w:pStyle w:val="ListNumber"/>
        <w:spacing w:after="120" w:line="276" w:lineRule="auto"/>
      </w:pPr>
      <w:r>
        <w:t>Rivera SC, Liu X, Chan AW, et al. SPIRIT-AI extension: guidelines for clinical trial protocols for interventions involving artificial intelligence. Nature Medicine. 2020;26:1351-1363.</w:t>
      </w:r>
    </w:p>
    <w:p>
      <w:pPr>
        <w:pStyle w:val="ListNumber"/>
        <w:spacing w:after="120" w:line="276" w:lineRule="auto"/>
      </w:pPr>
      <w:r>
        <w:t>Holtzman A, Buys J, Du L, Forbes M, Choi Y. The curious case of neural text degeneration. arXiv:1904.09751.</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