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D52EF" w14:textId="77777777" w:rsidR="00125CDD" w:rsidRPr="00391090" w:rsidRDefault="00000000" w:rsidP="00391090">
      <w:pPr>
        <w:spacing w:after="0" w:line="360" w:lineRule="auto"/>
        <w:jc w:val="center"/>
        <w:rPr>
          <w:rFonts w:cs="Times New Roman" w:hint="cs"/>
          <w:b/>
          <w:bCs/>
          <w:color w:val="000000" w:themeColor="text1"/>
          <w:sz w:val="24"/>
          <w:szCs w:val="24"/>
        </w:rPr>
      </w:pPr>
      <w:r w:rsidRPr="00391090">
        <w:rPr>
          <w:rFonts w:cs="Times New Roman" w:hint="cs"/>
          <w:b/>
          <w:bCs/>
          <w:color w:val="000000" w:themeColor="text1"/>
          <w:sz w:val="24"/>
          <w:szCs w:val="24"/>
        </w:rPr>
        <w:t>Results</w:t>
      </w:r>
    </w:p>
    <w:p w14:paraId="75D36A05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Trial Completion and Analytic Coverage</w:t>
      </w:r>
    </w:p>
    <w:p w14:paraId="4A9741CB" w14:textId="238C6084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The planned study generated 7,200 completed trials (300 source cases x 2 vignette lengths x 3 prompt conditions x 4 models), with full balance across models, conditions, and length strata (600 trials per model-condition cell; 900 short and 900 long vignettes per model).</w:t>
      </w:r>
    </w:p>
    <w:p w14:paraId="27C3EBE1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Overall Response-Level Outcomes</w:t>
      </w:r>
    </w:p>
    <w:p w14:paraId="223CD621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Across all 7,200 trials, outcome categories were distributed as follows:</w:t>
      </w:r>
    </w:p>
    <w:p w14:paraId="16B27957" w14:textId="77777777" w:rsidR="009D3676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391090">
        <w:rPr>
          <w:rFonts w:cs="Times New Roman" w:hint="cs"/>
          <w:b/>
          <w:bCs/>
          <w:color w:val="000000" w:themeColor="text1"/>
          <w:sz w:val="24"/>
          <w:szCs w:val="24"/>
        </w:rPr>
        <w:t>Successful defense:</w:t>
      </w:r>
      <w:r w:rsidRPr="00391090">
        <w:rPr>
          <w:rFonts w:cs="Times New Roman" w:hint="cs"/>
          <w:color w:val="000000" w:themeColor="text1"/>
          <w:sz w:val="24"/>
          <w:szCs w:val="24"/>
        </w:rPr>
        <w:t xml:space="preserve"> 968/7,200 (13.4%)</w:t>
      </w:r>
    </w:p>
    <w:p w14:paraId="3914B05F" w14:textId="77777777" w:rsidR="009D3676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D3676">
        <w:rPr>
          <w:rFonts w:cs="Times New Roman" w:hint="cs"/>
          <w:b/>
          <w:bCs/>
          <w:color w:val="000000" w:themeColor="text1"/>
          <w:sz w:val="24"/>
          <w:szCs w:val="24"/>
        </w:rPr>
        <w:t>Silent adoption:</w:t>
      </w:r>
      <w:r w:rsidRPr="009D3676">
        <w:rPr>
          <w:rFonts w:cs="Times New Roman" w:hint="cs"/>
          <w:color w:val="000000" w:themeColor="text1"/>
          <w:sz w:val="24"/>
          <w:szCs w:val="24"/>
        </w:rPr>
        <w:t xml:space="preserve"> 3,906/7,200 (54.2%)</w:t>
      </w:r>
    </w:p>
    <w:p w14:paraId="3E308A06" w14:textId="77777777" w:rsidR="009D3676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D3676">
        <w:rPr>
          <w:rFonts w:cs="Times New Roman" w:hint="cs"/>
          <w:b/>
          <w:bCs/>
          <w:color w:val="000000" w:themeColor="text1"/>
          <w:sz w:val="24"/>
          <w:szCs w:val="24"/>
        </w:rPr>
        <w:t>False positive:</w:t>
      </w:r>
      <w:r w:rsidRPr="009D3676">
        <w:rPr>
          <w:rFonts w:cs="Times New Roman" w:hint="cs"/>
          <w:color w:val="000000" w:themeColor="text1"/>
          <w:sz w:val="24"/>
          <w:szCs w:val="24"/>
        </w:rPr>
        <w:t xml:space="preserve"> 0/7,200 (0.0%)</w:t>
      </w:r>
    </w:p>
    <w:p w14:paraId="31974A46" w14:textId="3BFB9930" w:rsidR="00125CDD" w:rsidRPr="009D3676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9D3676">
        <w:rPr>
          <w:rFonts w:cs="Times New Roman" w:hint="cs"/>
          <w:b/>
          <w:bCs/>
          <w:color w:val="000000" w:themeColor="text1"/>
          <w:sz w:val="24"/>
          <w:szCs w:val="24"/>
        </w:rPr>
        <w:t>Blind spot:</w:t>
      </w:r>
      <w:r w:rsidRPr="009D3676">
        <w:rPr>
          <w:rFonts w:cs="Times New Roman" w:hint="cs"/>
          <w:color w:val="000000" w:themeColor="text1"/>
          <w:sz w:val="24"/>
          <w:szCs w:val="24"/>
        </w:rPr>
        <w:t xml:space="preserve"> 2,326/7,200 (32.3%)</w:t>
      </w:r>
    </w:p>
    <w:p w14:paraId="14091C0D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Dangerous reasoning hallucination was rare overall (1/7,200; 0.01%).</w:t>
      </w:r>
    </w:p>
    <w:p w14:paraId="3C85D02D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Model-Level Outcome Patterns</w:t>
      </w:r>
    </w:p>
    <w:p w14:paraId="749023B0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Model-level category profiles showed substantial heterogeneity:</w:t>
      </w:r>
    </w:p>
    <w:p w14:paraId="023B6F1A" w14:textId="77777777" w:rsidR="0008584F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D76F6">
        <w:rPr>
          <w:rFonts w:cs="Times New Roman" w:hint="cs"/>
          <w:b/>
          <w:bCs/>
          <w:color w:val="000000" w:themeColor="text1"/>
          <w:sz w:val="24"/>
          <w:szCs w:val="24"/>
        </w:rPr>
        <w:t>OpenAI GPT-5.4-mini (n = 1,800):</w:t>
      </w:r>
      <w:r w:rsidRPr="00391090">
        <w:rPr>
          <w:rFonts w:cs="Times New Roman" w:hint="cs"/>
          <w:color w:val="000000" w:themeColor="text1"/>
          <w:sz w:val="24"/>
          <w:szCs w:val="24"/>
        </w:rPr>
        <w:t xml:space="preserve"> successful defense 21.7%, silent adoption 9.6%, blind spot 68.7%</w:t>
      </w:r>
    </w:p>
    <w:p w14:paraId="56314757" w14:textId="77777777" w:rsidR="0008584F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08584F">
        <w:rPr>
          <w:rFonts w:cs="Times New Roman" w:hint="cs"/>
          <w:b/>
          <w:bCs/>
          <w:color w:val="000000" w:themeColor="text1"/>
          <w:sz w:val="24"/>
          <w:szCs w:val="24"/>
        </w:rPr>
        <w:t>Anthropic Claude Haiku 4.5 (n = 1,800):</w:t>
      </w:r>
      <w:r w:rsidRPr="0008584F">
        <w:rPr>
          <w:rFonts w:cs="Times New Roman" w:hint="cs"/>
          <w:color w:val="000000" w:themeColor="text1"/>
          <w:sz w:val="24"/>
          <w:szCs w:val="24"/>
        </w:rPr>
        <w:t xml:space="preserve"> successful defense 26.1%, silent adoption 48.0%, blind spot 25.9%</w:t>
      </w:r>
    </w:p>
    <w:p w14:paraId="2CDB0519" w14:textId="77777777" w:rsidR="0008584F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08584F">
        <w:rPr>
          <w:rFonts w:cs="Times New Roman" w:hint="cs"/>
          <w:b/>
          <w:bCs/>
          <w:color w:val="000000" w:themeColor="text1"/>
          <w:sz w:val="24"/>
          <w:szCs w:val="24"/>
        </w:rPr>
        <w:t>Gemini 3.1 Flash Lite (n = 1,800):</w:t>
      </w:r>
      <w:r w:rsidRPr="0008584F">
        <w:rPr>
          <w:rFonts w:cs="Times New Roman" w:hint="cs"/>
          <w:color w:val="000000" w:themeColor="text1"/>
          <w:sz w:val="24"/>
          <w:szCs w:val="24"/>
        </w:rPr>
        <w:t xml:space="preserve"> successful defense 6.0%, silent adoption 61.4%, blind spot 32.6%</w:t>
      </w:r>
    </w:p>
    <w:p w14:paraId="5A7DF3BF" w14:textId="26447F79" w:rsidR="00125CDD" w:rsidRPr="0008584F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08584F">
        <w:rPr>
          <w:rFonts w:cs="Times New Roman" w:hint="cs"/>
          <w:b/>
          <w:bCs/>
          <w:color w:val="000000" w:themeColor="text1"/>
          <w:sz w:val="24"/>
          <w:szCs w:val="24"/>
        </w:rPr>
        <w:t>OpenRouter Meta Llama 3.3 70B Instruct (n = 1,800):</w:t>
      </w:r>
      <w:r w:rsidRPr="0008584F">
        <w:rPr>
          <w:rFonts w:cs="Times New Roman" w:hint="cs"/>
          <w:color w:val="000000" w:themeColor="text1"/>
          <w:sz w:val="24"/>
          <w:szCs w:val="24"/>
        </w:rPr>
        <w:t xml:space="preserve"> successful defense 0.0%, silent adoption 98.0%, blind spot 2.0%</w:t>
      </w:r>
    </w:p>
    <w:p w14:paraId="2CFCBB0F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False-positive classification remained 0.0% in all model-level summaries.</w:t>
      </w:r>
    </w:p>
    <w:p w14:paraId="76A0EBAA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Prompt Condition Effects</w:t>
      </w:r>
    </w:p>
    <w:p w14:paraId="167DC1F6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In pooled model-specific comparisons against DEFAULT condition, SAFETY_INSTRUCTION was associated with increased hallucination-detection rates for all models, with magnitude varying by model:</w:t>
      </w:r>
    </w:p>
    <w:p w14:paraId="410A510E" w14:textId="77777777" w:rsidR="00F304D4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67517">
        <w:rPr>
          <w:rFonts w:cs="Times New Roman" w:hint="cs"/>
          <w:b/>
          <w:bCs/>
          <w:color w:val="000000" w:themeColor="text1"/>
          <w:sz w:val="24"/>
          <w:szCs w:val="24"/>
        </w:rPr>
        <w:t>Claude Haiku 4.5:</w:t>
      </w:r>
      <w:r w:rsidRPr="00391090">
        <w:rPr>
          <w:rFonts w:cs="Times New Roman" w:hint="cs"/>
          <w:color w:val="000000" w:themeColor="text1"/>
          <w:sz w:val="24"/>
          <w:szCs w:val="24"/>
        </w:rPr>
        <w:t xml:space="preserve"> risk difference +25.17 percentage points (95% CI 19.72 to 30.61), risk ratio 1.59 (95% CI 1.43 to 1.77)</w:t>
      </w:r>
    </w:p>
    <w:p w14:paraId="6F3C399C" w14:textId="77777777" w:rsidR="00F304D4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lastRenderedPageBreak/>
        <w:t>Gemini 3.1 Flash Lite: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risk difference +17.67 percentage points (95% CI 13.50 to 21.83), risk ratio 3.06 (95% CI 2.28 to 4.10)</w:t>
      </w:r>
    </w:p>
    <w:p w14:paraId="5DB073BE" w14:textId="77777777" w:rsidR="00F304D4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GPT-5.4-mini: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risk difference +9.50 percentage points (95% CI 6.49 to 12.51), risk ratio 1.11 (95% CI 1.07 to 1.15)</w:t>
      </w:r>
    </w:p>
    <w:p w14:paraId="563B2340" w14:textId="3978786B" w:rsidR="00125CDD" w:rsidRPr="00F304D4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Meta Llama 3.3 70B Instruct: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risk difference +3.17 percentage points (95% CI 1.69 to 4.64), risk ratio 13.67 (95% CI 2.61 to 71.45)</w:t>
      </w:r>
    </w:p>
    <w:p w14:paraId="35C43C78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By contrast, DETERMINISTIC versus DEFAULT effects were small and confidence intervals crossed the null in all models:</w:t>
      </w:r>
    </w:p>
    <w:p w14:paraId="0BE38BFD" w14:textId="77777777" w:rsidR="00F304D4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D3676">
        <w:rPr>
          <w:rFonts w:cs="Times New Roman" w:hint="cs"/>
          <w:b/>
          <w:bCs/>
          <w:color w:val="000000" w:themeColor="text1"/>
          <w:sz w:val="24"/>
          <w:szCs w:val="24"/>
        </w:rPr>
        <w:t>Claude Haiku 4.5:</w:t>
      </w:r>
      <w:r w:rsidRPr="00391090">
        <w:rPr>
          <w:rFonts w:cs="Times New Roman" w:hint="cs"/>
          <w:color w:val="000000" w:themeColor="text1"/>
          <w:sz w:val="24"/>
          <w:szCs w:val="24"/>
        </w:rPr>
        <w:t xml:space="preserve"> +2.50 percentage points (95% CI -3.11 to 8.11)</w:t>
      </w:r>
    </w:p>
    <w:p w14:paraId="438D8765" w14:textId="77777777" w:rsidR="00F304D4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Gemini 3.1 Flash Lite: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+0.67 percentage points (95% CI -2.54 to 3.88)</w:t>
      </w:r>
    </w:p>
    <w:p w14:paraId="536A8BE0" w14:textId="77777777" w:rsidR="00F304D4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GPT-5.4-mini: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-0.83 percentage points (95% CI -4.65 to 2.98)</w:t>
      </w:r>
    </w:p>
    <w:p w14:paraId="32DF1ED8" w14:textId="6D579135" w:rsidR="00125CDD" w:rsidRPr="00F304D4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Meta Llama 3.3 70B Instruct: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0.00 percentage points (95% CI -0.46 to 0.46)</w:t>
      </w:r>
    </w:p>
    <w:p w14:paraId="34AF0CDA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Vignette Length Effects</w:t>
      </w:r>
    </w:p>
    <w:p w14:paraId="3A8CCC81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Short versus long vignette comparisons within condition were generally small and imprecise:</w:t>
      </w:r>
    </w:p>
    <w:p w14:paraId="23A0BD8A" w14:textId="77777777" w:rsidR="00F304D4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D3676">
        <w:rPr>
          <w:rFonts w:cs="Times New Roman" w:hint="cs"/>
          <w:b/>
          <w:bCs/>
          <w:color w:val="000000" w:themeColor="text1"/>
          <w:sz w:val="24"/>
          <w:szCs w:val="24"/>
        </w:rPr>
        <w:t>Claude Haiku 4.5:</w:t>
      </w:r>
      <w:r w:rsidRPr="00391090">
        <w:rPr>
          <w:rFonts w:cs="Times New Roman" w:hint="cs"/>
          <w:color w:val="000000" w:themeColor="text1"/>
          <w:sz w:val="24"/>
          <w:szCs w:val="24"/>
        </w:rPr>
        <w:t xml:space="preserve"> absolute differences ranged from -3.0 to +3.33 percentage points across conditions</w:t>
      </w:r>
    </w:p>
    <w:p w14:paraId="3B4F5138" w14:textId="77777777" w:rsidR="00F304D4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Gemini 3.1 Flash Lite: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absolute differences ranged from +1.0 to +7.0 percentage points, with the largest estimate in SAFETY_INSTRUCTION (95% CI -0.01 to 14.01)</w:t>
      </w:r>
    </w:p>
    <w:p w14:paraId="0871FA44" w14:textId="77777777" w:rsidR="00F304D4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GPT-5.4-mini: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absolute differences ranged from +0.33 to +3.0 percentage points</w:t>
      </w:r>
    </w:p>
    <w:p w14:paraId="015C22F2" w14:textId="3467AD59" w:rsidR="00125CDD" w:rsidRPr="00F304D4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F304D4">
        <w:rPr>
          <w:rFonts w:cs="Times New Roman" w:hint="cs"/>
          <w:b/>
          <w:bCs/>
          <w:color w:val="000000" w:themeColor="text1"/>
          <w:sz w:val="24"/>
          <w:szCs w:val="24"/>
        </w:rPr>
        <w:t>Meta Llama 3.3 70B Instruct:</w:t>
      </w:r>
      <w:r w:rsidRPr="00F304D4">
        <w:rPr>
          <w:rFonts w:cs="Times New Roman" w:hint="cs"/>
          <w:color w:val="000000" w:themeColor="text1"/>
          <w:sz w:val="24"/>
          <w:szCs w:val="24"/>
        </w:rPr>
        <w:t xml:space="preserve"> absolute differences ranged from +0.33 to +2.0 percentage points</w:t>
      </w:r>
    </w:p>
    <w:p w14:paraId="46B549F9" w14:textId="77777777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Across all model-condition strata, risk-ratio confidence intervals for length effects overlapped 1.0.</w:t>
      </w:r>
    </w:p>
    <w:p w14:paraId="33E3A7CE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Safety-Relevant Secondary Outcomes</w:t>
      </w:r>
    </w:p>
    <w:p w14:paraId="3FA960AE" w14:textId="72B8BED4" w:rsidR="00125CDD" w:rsidRPr="00391090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391090">
        <w:rPr>
          <w:rFonts w:cs="Times New Roman" w:hint="cs"/>
          <w:color w:val="000000" w:themeColor="text1"/>
          <w:sz w:val="24"/>
          <w:szCs w:val="24"/>
        </w:rPr>
        <w:t>Dangerous reasoning hallucination occurred in one trial only (GPT-5.4-mini, DETERMINISTIC), corresponding to 0.17% in that cell and 0.01% overall. No false-positive hallucination flags were observed in pooled outputs.</w:t>
      </w:r>
    </w:p>
    <w:p w14:paraId="5FEEBAB1" w14:textId="77777777" w:rsidR="00125CDD" w:rsidRPr="00391090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391090">
        <w:rPr>
          <w:rFonts w:ascii="Times New Roman" w:hAnsi="Times New Roman" w:cs="Times New Roman" w:hint="cs"/>
          <w:color w:val="000000" w:themeColor="text1"/>
          <w:sz w:val="24"/>
          <w:szCs w:val="24"/>
        </w:rPr>
        <w:t>Human Validation</w:t>
      </w:r>
    </w:p>
    <w:p w14:paraId="647CFD14" w14:textId="2FC38953" w:rsidR="00125CDD" w:rsidRPr="00391090" w:rsidRDefault="00125CDD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>
        <w:t>Agreement between automated classification and psychiatrist adjudication was evaluated in a 400-case validation set (100 cases per psychiatrist). To ensure endpoint concordance with the rating task, psychiatrist Hallucination_Rating was compared against automated adoption_rate_failure (incorporation of the fabricated term without effective model detection). Cohen's kappa was calculated as kappa = (Po - Pe) / (1 - Pe), where Po is observed agreement and Pe is chance-expected agreement from marginal probabilities.</w:t>
      </w:r>
    </w:p>
    <w:p>
      <w:r>
        <w:t>Using the observed data, Po = 0.855 and Pe = 0.777, yielding kappa = 0.3492 (95% CI 0.1943 to 0.5041), consistent with fair agreement.</w:t>
      </w:r>
    </w:p>
    <w:p>
      <w:r>
        <w:t>For clinically oriented interpretation, additional agreement metrics from the same confusion matrix were as follows: sensitivity 30.9%, specificity 96.7%, positive predictive value 65.6%, and negative predictive value 87.2%.</w:t>
      </w:r>
    </w:p>
    <w:p>
      <w:r>
        <w:t>Agreement varied across psychiatrists: A, kappa = 0.2315 (95% CI -0.1014 to 0.5643); B, kappa = 0.6702 (95% CI 0.4511 to 0.8894); C, kappa = 0.2624 (95% CI -0.0959 to 0.6207); and D, kappa = 0.2003 (95% CI -0.1233 to 0.5240).</w:t>
      </w:r>
    </w:p>
    <w:p>
      <w:r>
        <w:t>The confusion matrix showed 321 AI-negative/human-negative and 21 AI-positive/human-positive concordant classifications, with 58 discordant classifications overall. Discordance was asymmetric: human-positive/AI-negative cases (n=47) were more frequent than AI-positive/human-negative cases (n=11), indicating a conservative automated decision profile.</w:t>
      </w:r>
    </w:p>
    <w:p>
      <w:r>
        <w:t>Automated positive classifications were lower than psychiatrist-positive classifications (AI 8.0% vs human 17.0%). This pattern indicates stronger concordance for non-incorporation than for psychiatrist-identified incorporation cases. Accordingly, the automated endpoint is suitable as a screening and quality-monitoring signal, but not as a replacement for specialist adjudication. In sensitivity analysis, substituting hallucination_detected for adoption_rate_failure produced negative kappa, demonstrating endpoint-definition mismatch rather than stable criterion disagreement.</w:t>
      </w:r>
    </w:p>
    <w:p>
      <w:r>
        <w:t>Table 1. Overall AI-versus-human agreement (endpoint-aligned)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Metric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Validation sample size</w:t>
            </w:r>
          </w:p>
        </w:tc>
        <w:tc>
          <w:tcPr>
            <w:tcW w:type="dxa" w:w="4824"/>
          </w:tcPr>
          <w:p>
            <w:r>
              <w:t>400 responses</w:t>
            </w:r>
          </w:p>
        </w:tc>
      </w:tr>
      <w:tr>
        <w:tc>
          <w:tcPr>
            <w:tcW w:type="dxa" w:w="4824"/>
          </w:tcPr>
          <w:p>
            <w:r>
              <w:t>AI endpoint</w:t>
            </w:r>
          </w:p>
        </w:tc>
        <w:tc>
          <w:tcPr>
            <w:tcW w:type="dxa" w:w="4824"/>
          </w:tcPr>
          <w:p>
            <w:r>
              <w:t>adoption_rate_failure</w:t>
            </w:r>
          </w:p>
        </w:tc>
      </w:tr>
      <w:tr>
        <w:tc>
          <w:tcPr>
            <w:tcW w:type="dxa" w:w="4824"/>
          </w:tcPr>
          <w:p>
            <w:r>
              <w:t>Human endpoint</w:t>
            </w:r>
          </w:p>
        </w:tc>
        <w:tc>
          <w:tcPr>
            <w:tcW w:type="dxa" w:w="4824"/>
          </w:tcPr>
          <w:p>
            <w:r>
              <w:t>Hallucination_Rating</w:t>
            </w:r>
          </w:p>
        </w:tc>
      </w:tr>
      <w:tr>
        <w:tc>
          <w:tcPr>
            <w:tcW w:type="dxa" w:w="4824"/>
          </w:tcPr>
          <w:p>
            <w:r>
              <w:t>Cohen's kappa</w:t>
            </w:r>
          </w:p>
        </w:tc>
        <w:tc>
          <w:tcPr>
            <w:tcW w:type="dxa" w:w="4824"/>
          </w:tcPr>
          <w:p>
            <w:r>
              <w:t>0.3492</w:t>
            </w:r>
          </w:p>
        </w:tc>
      </w:tr>
      <w:tr>
        <w:tc>
          <w:tcPr>
            <w:tcW w:type="dxa" w:w="4824"/>
          </w:tcPr>
          <w:p>
            <w:r>
              <w:t>95% CI for kappa</w:t>
            </w:r>
          </w:p>
        </w:tc>
        <w:tc>
          <w:tcPr>
            <w:tcW w:type="dxa" w:w="4824"/>
          </w:tcPr>
          <w:p>
            <w:r>
              <w:t>0.1943 to 0.5041</w:t>
            </w:r>
          </w:p>
        </w:tc>
      </w:tr>
      <w:tr>
        <w:tc>
          <w:tcPr>
            <w:tcW w:type="dxa" w:w="4824"/>
          </w:tcPr>
          <w:p>
            <w:r>
              <w:t>Observed agreement</w:t>
            </w:r>
          </w:p>
        </w:tc>
        <w:tc>
          <w:tcPr>
            <w:tcW w:type="dxa" w:w="4824"/>
          </w:tcPr>
          <w:p>
            <w:r>
              <w:t>85.5%</w:t>
            </w:r>
          </w:p>
        </w:tc>
      </w:tr>
      <w:tr>
        <w:tc>
          <w:tcPr>
            <w:tcW w:type="dxa" w:w="4824"/>
          </w:tcPr>
          <w:p>
            <w:r>
              <w:t>Expected-by-chance agreement</w:t>
            </w:r>
          </w:p>
        </w:tc>
        <w:tc>
          <w:tcPr>
            <w:tcW w:type="dxa" w:w="4824"/>
          </w:tcPr>
          <w:p>
            <w:r>
              <w:t>77.7%</w:t>
            </w:r>
          </w:p>
        </w:tc>
      </w:tr>
      <w:tr>
        <w:tc>
          <w:tcPr>
            <w:tcW w:type="dxa" w:w="4824"/>
          </w:tcPr>
          <w:p>
            <w:r>
              <w:t>AI positive rate</w:t>
            </w:r>
          </w:p>
        </w:tc>
        <w:tc>
          <w:tcPr>
            <w:tcW w:type="dxa" w:w="4824"/>
          </w:tcPr>
          <w:p>
            <w:r>
              <w:t>8.0%</w:t>
            </w:r>
          </w:p>
        </w:tc>
      </w:tr>
      <w:tr>
        <w:tc>
          <w:tcPr>
            <w:tcW w:type="dxa" w:w="4824"/>
          </w:tcPr>
          <w:p>
            <w:r>
              <w:t>Human positive rate</w:t>
            </w:r>
          </w:p>
        </w:tc>
        <w:tc>
          <w:tcPr>
            <w:tcW w:type="dxa" w:w="4824"/>
          </w:tcPr>
          <w:p>
            <w:r>
              <w:t>17.0%</w:t>
            </w:r>
          </w:p>
        </w:tc>
      </w:tr>
    </w:tbl>
    <w:p/>
    <w:p>
      <w:r>
        <w:t>Table 2. Agreement by psychiatrist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Psychiatrist</w:t>
            </w:r>
          </w:p>
        </w:tc>
        <w:tc>
          <w:tcPr>
            <w:tcW w:type="dxa" w:w="1930"/>
          </w:tcPr>
          <w:p>
            <w:r>
              <w:t>n</w:t>
            </w:r>
          </w:p>
        </w:tc>
        <w:tc>
          <w:tcPr>
            <w:tcW w:type="dxa" w:w="1930"/>
          </w:tcPr>
          <w:p>
            <w:r>
              <w:t>Cohen's kappa</w:t>
            </w:r>
          </w:p>
        </w:tc>
        <w:tc>
          <w:tcPr>
            <w:tcW w:type="dxa" w:w="1930"/>
          </w:tcPr>
          <w:p>
            <w:r>
              <w:t>95% CI</w:t>
            </w:r>
          </w:p>
        </w:tc>
        <w:tc>
          <w:tcPr>
            <w:tcW w:type="dxa" w:w="1930"/>
          </w:tcPr>
          <w:p>
            <w:r>
              <w:t>Interpretation</w:t>
            </w:r>
          </w:p>
        </w:tc>
      </w:tr>
      <w:tr>
        <w:tc>
          <w:tcPr>
            <w:tcW w:type="dxa" w:w="1930"/>
          </w:tcPr>
          <w:p>
            <w:r>
              <w:t>A</w:t>
            </w:r>
          </w:p>
        </w:tc>
        <w:tc>
          <w:tcPr>
            <w:tcW w:type="dxa" w:w="1930"/>
          </w:tcPr>
          <w:p>
            <w:r>
              <w:t>100</w:t>
            </w:r>
          </w:p>
        </w:tc>
        <w:tc>
          <w:tcPr>
            <w:tcW w:type="dxa" w:w="1930"/>
          </w:tcPr>
          <w:p>
            <w:r>
              <w:t>0.2315</w:t>
            </w:r>
          </w:p>
        </w:tc>
        <w:tc>
          <w:tcPr>
            <w:tcW w:type="dxa" w:w="1930"/>
          </w:tcPr>
          <w:p>
            <w:r>
              <w:t>-0.1014 to 0.5643</w:t>
            </w:r>
          </w:p>
        </w:tc>
        <w:tc>
          <w:tcPr>
            <w:tcW w:type="dxa" w:w="1930"/>
          </w:tcPr>
          <w:p>
            <w:r>
              <w:t>Fair</w:t>
            </w:r>
          </w:p>
        </w:tc>
      </w:tr>
      <w:tr>
        <w:tc>
          <w:tcPr>
            <w:tcW w:type="dxa" w:w="1930"/>
          </w:tcPr>
          <w:p>
            <w:r>
              <w:t>B</w:t>
            </w:r>
          </w:p>
        </w:tc>
        <w:tc>
          <w:tcPr>
            <w:tcW w:type="dxa" w:w="1930"/>
          </w:tcPr>
          <w:p>
            <w:r>
              <w:t>100</w:t>
            </w:r>
          </w:p>
        </w:tc>
        <w:tc>
          <w:tcPr>
            <w:tcW w:type="dxa" w:w="1930"/>
          </w:tcPr>
          <w:p>
            <w:r>
              <w:t>0.6702</w:t>
            </w:r>
          </w:p>
        </w:tc>
        <w:tc>
          <w:tcPr>
            <w:tcW w:type="dxa" w:w="1930"/>
          </w:tcPr>
          <w:p>
            <w:r>
              <w:t>0.4511 to 0.8894</w:t>
            </w:r>
          </w:p>
        </w:tc>
        <w:tc>
          <w:tcPr>
            <w:tcW w:type="dxa" w:w="1930"/>
          </w:tcPr>
          <w:p>
            <w:r>
              <w:t>Substantial</w:t>
            </w:r>
          </w:p>
        </w:tc>
      </w:tr>
      <w:tr>
        <w:tc>
          <w:tcPr>
            <w:tcW w:type="dxa" w:w="1930"/>
          </w:tcPr>
          <w:p>
            <w:r>
              <w:t>C</w:t>
            </w:r>
          </w:p>
        </w:tc>
        <w:tc>
          <w:tcPr>
            <w:tcW w:type="dxa" w:w="1930"/>
          </w:tcPr>
          <w:p>
            <w:r>
              <w:t>100</w:t>
            </w:r>
          </w:p>
        </w:tc>
        <w:tc>
          <w:tcPr>
            <w:tcW w:type="dxa" w:w="1930"/>
          </w:tcPr>
          <w:p>
            <w:r>
              <w:t>0.2624</w:t>
            </w:r>
          </w:p>
        </w:tc>
        <w:tc>
          <w:tcPr>
            <w:tcW w:type="dxa" w:w="1930"/>
          </w:tcPr>
          <w:p>
            <w:r>
              <w:t>-0.0959 to 0.6207</w:t>
            </w:r>
          </w:p>
        </w:tc>
        <w:tc>
          <w:tcPr>
            <w:tcW w:type="dxa" w:w="1930"/>
          </w:tcPr>
          <w:p>
            <w:r>
              <w:t>Fair</w:t>
            </w:r>
          </w:p>
        </w:tc>
      </w:tr>
      <w:tr>
        <w:tc>
          <w:tcPr>
            <w:tcW w:type="dxa" w:w="1930"/>
          </w:tcPr>
          <w:p>
            <w:r>
              <w:t>D</w:t>
            </w:r>
          </w:p>
        </w:tc>
        <w:tc>
          <w:tcPr>
            <w:tcW w:type="dxa" w:w="1930"/>
          </w:tcPr>
          <w:p>
            <w:r>
              <w:t>100</w:t>
            </w:r>
          </w:p>
        </w:tc>
        <w:tc>
          <w:tcPr>
            <w:tcW w:type="dxa" w:w="1930"/>
          </w:tcPr>
          <w:p>
            <w:r>
              <w:t>0.2003</w:t>
            </w:r>
          </w:p>
        </w:tc>
        <w:tc>
          <w:tcPr>
            <w:tcW w:type="dxa" w:w="1930"/>
          </w:tcPr>
          <w:p>
            <w:r>
              <w:t>-0.1233 to 0.5240</w:t>
            </w:r>
          </w:p>
        </w:tc>
        <w:tc>
          <w:tcPr>
            <w:tcW w:type="dxa" w:w="1930"/>
          </w:tcPr>
          <w:p>
            <w:r>
              <w:t>Fair</w:t>
            </w:r>
          </w:p>
        </w:tc>
      </w:tr>
    </w:tbl>
    <w:p/>
    <w:p>
      <w:r>
        <w:t>Table 3. Confusion matrix (AI rows, human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>
              <w:t>Human negative</w:t>
            </w:r>
          </w:p>
        </w:tc>
        <w:tc>
          <w:tcPr>
            <w:tcW w:type="dxa" w:w="2412"/>
          </w:tcPr>
          <w:p>
            <w:r>
              <w:t>Human positive</w:t>
            </w:r>
          </w:p>
        </w:tc>
        <w:tc>
          <w:tcPr>
            <w:tcW w:type="dxa" w:w="2412"/>
          </w:tcPr>
          <w:p>
            <w:r>
              <w:t>Row total</w:t>
            </w:r>
          </w:p>
        </w:tc>
      </w:tr>
      <w:tr>
        <w:tc>
          <w:tcPr>
            <w:tcW w:type="dxa" w:w="2412"/>
          </w:tcPr>
          <w:p>
            <w:r>
              <w:t>AI negative</w:t>
            </w:r>
          </w:p>
        </w:tc>
        <w:tc>
          <w:tcPr>
            <w:tcW w:type="dxa" w:w="2412"/>
          </w:tcPr>
          <w:p>
            <w:r>
              <w:t>321</w:t>
            </w:r>
          </w:p>
        </w:tc>
        <w:tc>
          <w:tcPr>
            <w:tcW w:type="dxa" w:w="2412"/>
          </w:tcPr>
          <w:p>
            <w:r>
              <w:t>47</w:t>
            </w:r>
          </w:p>
        </w:tc>
        <w:tc>
          <w:tcPr>
            <w:tcW w:type="dxa" w:w="2412"/>
          </w:tcPr>
          <w:p>
            <w:r>
              <w:t>368</w:t>
            </w:r>
          </w:p>
        </w:tc>
      </w:tr>
      <w:tr>
        <w:tc>
          <w:tcPr>
            <w:tcW w:type="dxa" w:w="2412"/>
          </w:tcPr>
          <w:p>
            <w:r>
              <w:t>AI positive</w:t>
            </w:r>
          </w:p>
        </w:tc>
        <w:tc>
          <w:tcPr>
            <w:tcW w:type="dxa" w:w="2412"/>
          </w:tcPr>
          <w:p>
            <w:r>
              <w:t>11</w:t>
            </w:r>
          </w:p>
        </w:tc>
        <w:tc>
          <w:tcPr>
            <w:tcW w:type="dxa" w:w="2412"/>
          </w:tcPr>
          <w:p>
            <w:r>
              <w:t>21</w:t>
            </w:r>
          </w:p>
        </w:tc>
        <w:tc>
          <w:tcPr>
            <w:tcW w:type="dxa" w:w="2412"/>
          </w:tcPr>
          <w:p>
            <w:r>
              <w:t>32</w:t>
            </w:r>
          </w:p>
        </w:tc>
      </w:tr>
      <w:tr>
        <w:tc>
          <w:tcPr>
            <w:tcW w:type="dxa" w:w="2412"/>
          </w:tcPr>
          <w:p>
            <w:r>
              <w:t>Column total</w:t>
            </w:r>
          </w:p>
        </w:tc>
        <w:tc>
          <w:tcPr>
            <w:tcW w:type="dxa" w:w="2412"/>
          </w:tcPr>
          <w:p>
            <w:r>
              <w:t>332</w:t>
            </w:r>
          </w:p>
        </w:tc>
        <w:tc>
          <w:tcPr>
            <w:tcW w:type="dxa" w:w="2412"/>
          </w:tcPr>
          <w:p>
            <w:r>
              <w:t>68</w:t>
            </w:r>
          </w:p>
        </w:tc>
        <w:tc>
          <w:tcPr>
            <w:tcW w:type="dxa" w:w="2412"/>
          </w:tcPr>
          <w:p>
            <w:r>
              <w:t>400</w:t>
            </w:r>
          </w:p>
        </w:tc>
      </w:tr>
    </w:tbl>
    <w:sectPr w:rsidR="00125CDD" w:rsidRPr="00391090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157B9"/>
    <w:multiLevelType w:val="hybridMultilevel"/>
    <w:tmpl w:val="47A4D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00FF"/>
    <w:multiLevelType w:val="hybridMultilevel"/>
    <w:tmpl w:val="D210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E1A8A"/>
    <w:multiLevelType w:val="hybridMultilevel"/>
    <w:tmpl w:val="9A02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11AE2"/>
    <w:multiLevelType w:val="hybridMultilevel"/>
    <w:tmpl w:val="EF9C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B5EE4"/>
    <w:multiLevelType w:val="hybridMultilevel"/>
    <w:tmpl w:val="213E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6986">
    <w:abstractNumId w:val="8"/>
  </w:num>
  <w:num w:numId="2" w16cid:durableId="9570569">
    <w:abstractNumId w:val="6"/>
  </w:num>
  <w:num w:numId="3" w16cid:durableId="1665157097">
    <w:abstractNumId w:val="5"/>
  </w:num>
  <w:num w:numId="4" w16cid:durableId="467017291">
    <w:abstractNumId w:val="4"/>
  </w:num>
  <w:num w:numId="5" w16cid:durableId="1722702979">
    <w:abstractNumId w:val="7"/>
  </w:num>
  <w:num w:numId="6" w16cid:durableId="907032495">
    <w:abstractNumId w:val="3"/>
  </w:num>
  <w:num w:numId="7" w16cid:durableId="571351828">
    <w:abstractNumId w:val="2"/>
  </w:num>
  <w:num w:numId="8" w16cid:durableId="1793208718">
    <w:abstractNumId w:val="1"/>
  </w:num>
  <w:num w:numId="9" w16cid:durableId="959608507">
    <w:abstractNumId w:val="0"/>
  </w:num>
  <w:num w:numId="10" w16cid:durableId="1752506546">
    <w:abstractNumId w:val="9"/>
  </w:num>
  <w:num w:numId="11" w16cid:durableId="809522674">
    <w:abstractNumId w:val="13"/>
  </w:num>
  <w:num w:numId="12" w16cid:durableId="1611619339">
    <w:abstractNumId w:val="12"/>
  </w:num>
  <w:num w:numId="13" w16cid:durableId="681053195">
    <w:abstractNumId w:val="11"/>
  </w:num>
  <w:num w:numId="14" w16cid:durableId="44905577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84F"/>
    <w:rsid w:val="000F6BFE"/>
    <w:rsid w:val="00125CDD"/>
    <w:rsid w:val="0015074B"/>
    <w:rsid w:val="0029639D"/>
    <w:rsid w:val="00326F90"/>
    <w:rsid w:val="00391090"/>
    <w:rsid w:val="009D3676"/>
    <w:rsid w:val="00AA1D8D"/>
    <w:rsid w:val="00B47730"/>
    <w:rsid w:val="00CB0664"/>
    <w:rsid w:val="00DD76F6"/>
    <w:rsid w:val="00F304D4"/>
    <w:rsid w:val="00F67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D4DF6"/>
  <w14:defaultImageDpi w14:val="300"/>
  <w15:docId w15:val="{0BF313B0-D115-4145-B6B0-0DCEB7BC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Hemanta Acharya</cp:lastModifiedBy>
  <cp:revision>7</cp:revision>
  <dcterms:created xsi:type="dcterms:W3CDTF">2013-12-23T23:15:00Z</dcterms:created>
  <dcterms:modified xsi:type="dcterms:W3CDTF">2026-06-30T05:53:00Z</dcterms:modified>
  <cp:category/>
</cp:coreProperties>
</file>