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TCS</w:t>
      </w:r>
    </w:p>
    <w:p>
      <w:pPr>
        <w:jc w:val="center"/>
      </w:pPr>
      <w:r>
        <w:t>Date: 2026-03-27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ID, the residence of the guarantor is confirmed at the address provided.</w:t>
      </w:r>
    </w:p>
    <w:p>
      <w:r>
        <w:t>- Machine Supplier: The machine supplier, "123456789ABCDEF," has been verified and is a legitimate entity. No red flags were detected during the verification process.</w:t>
      </w:r>
    </w:p>
    <w:p>
      <w:r>
        <w:t>- Bankers: The company's bankers, "Logistics Corp 0x73," were contacted and confirmed the company's financial standing. They reported no concerns or defaults.</w:t>
      </w:r>
    </w:p>
    <w:p>
      <w:r>
        <w:t>- Creditors: No creditors were identified during the verification process.</w:t>
      </w:r>
    </w:p>
    <w:p>
      <w:r>
        <w:t>- Independent/Market: Market research indicates a positive outlook for the manufacturing sector, with steady growth projected.</w:t>
      </w:r>
    </w:p>
    <w:p>
      <w:r>
        <w:t>- Dedupe: No duplicate records or discrepancies were found during the verification process.</w:t>
      </w:r>
    </w:p>
    <w:p>
      <w:r>
        <w:t>- FCU Check: The FCU check revealed no adverse records or defaults against the guarantor.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[GUARANTOR CIBIL SCORE]</w:t>
      </w:r>
    </w:p>
    <w:p>
      <w:r>
        <w:t>- Incomes: The guarantor's income sources include [INCOME SOURCES], totaling [GUARANTOR INCOME AMOUNT].</w:t>
      </w:r>
    </w:p>
    <w:p>
      <w:r>
        <w:t>3. REFERENCE CHECK BY CREDIT ANALYST</w:t>
      </w:r>
    </w:p>
    <w:p>
      <w:r>
        <w:t>- Machine Supplier: The machine supplier, "123456789ABCDEF," has a positive reputation in the market and no reported issues.</w:t>
      </w:r>
    </w:p>
    <w:p>
      <w:r>
        <w:t>- Creditor: No creditors were identified, indicating a clean credit history.</w:t>
      </w:r>
    </w:p>
    <w:p>
      <w:r>
        <w:t>- Customer: The customer, "Vendor 0x4015," has been a reliable and consistent partner, with no payment defaults.</w:t>
      </w:r>
    </w:p>
    <w:p>
      <w:r>
        <w:t>- Bankers/Term Lenders: Bankers "Logistics Corp 0x73" provided a positive reference, highlighting the company's financial stability and timely repayments.</w:t>
      </w:r>
    </w:p>
    <w:p>
      <w:r>
        <w:t>- Competitors/Peers: Market peers indicate a competitive landscape, with similar performance metrics.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been compliant with income tax filings.</w:t>
      </w:r>
    </w:p>
    <w:p>
      <w:r>
        <w:t>- Excise Duty: No excise duty-related issues were reported.</w:t>
      </w:r>
    </w:p>
    <w:p>
      <w:r>
        <w:t>- Sales Tax: The company has a clean record with sales tax compliance.</w:t>
      </w:r>
    </w:p>
    <w:p>
      <w:r>
        <w:t>- ESIC/EPF: ESIC and EPF contributions are up to date, indicating compliance with labor laws.</w:t>
      </w:r>
    </w:p>
    <w:p>
      <w:r>
        <w:t>- Litigations: No ongoing or pending litigations were found.</w:t>
      </w:r>
    </w:p>
    <w:p>
      <w:r>
        <w:t>- Defaults: No defaults or adverse records were detected during the compliance check.</w:t>
      </w:r>
    </w:p>
    <w:p>
      <w:r>
        <w:t>5. CAT SHEET</w:t>
      </w:r>
    </w:p>
    <w:p>
      <w:pPr>
        <w:pStyle w:val="Heading2"/>
      </w:pPr>
      <w:r>
        <w:t>- Requested Loan: ₹300,000</w:t>
      </w:r>
    </w:p>
    <w:p>
      <w:pPr>
        <w:pStyle w:val="Heading2"/>
      </w:pPr>
      <w:r>
        <w:t>- Probability of Default: 50.12%</w:t>
      </w:r>
    </w:p>
    <w:p>
      <w:pPr>
        <w:pStyle w:val="Heading2"/>
      </w:pPr>
      <w:r>
        <w:t>- Data Quality Score: 8.4</w:t>
      </w:r>
    </w:p>
    <w:p>
      <w:pPr>
        <w:pStyle w:val="Heading2"/>
      </w:pPr>
      <w:r>
        <w:t>- Decision: REJECT</w:t>
      </w:r>
    </w:p>
    <w:p>
      <w:pPr>
        <w:pStyle w:val="Heading2"/>
      </w:pPr>
      <w:r>
        <w:t>- Recommended Loan: ₹125,000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The corporate guarantor, "Shell Company 15," has a clean regulatory history and is not disqualified. The total corporate footprint is valued at ₹161,859,076.67.</w:t>
      </w:r>
    </w:p>
    <w:p>
      <w:r>
        <w:t>7. GROUP ANALYSIS</w:t>
      </w:r>
    </w:p>
    <w:p>
      <w:r>
        <w:t>Capital Employed</w:t>
      </w:r>
    </w:p>
    <w:p>
      <w:r>
        <w:t>The company's capital employed is ₹[CAPITAL_EMPLOYED_AMOUNT], which is within the sector average.</w:t>
      </w:r>
    </w:p>
    <w:p>
      <w:r>
        <w:t>Unsecured Loan</w:t>
      </w:r>
    </w:p>
    <w:p>
      <w:r>
        <w:t>The unsecured loan amount is ₹[UNSECURED_LOAN_AMOUNT], which is higher than the sector average.</w:t>
      </w:r>
    </w:p>
    <w:p>
      <w:r>
        <w:t>Debt Burden</w:t>
      </w:r>
    </w:p>
    <w:p>
      <w:r>
        <w:t>The company's debt burden is relatively high, with a debt-to-equity ratio of [DEBT_TO_EQUITY_RATIO], which is above the sector average of 1.5.</w:t>
      </w:r>
    </w:p>
    <w:p>
      <w:r>
        <w:t>Turnover</w:t>
      </w:r>
    </w:p>
    <w:p>
      <w:r>
        <w:t>The turnover for the company is ₹[TURNOVER_AMOUNT], indicating a moderate performance compared to the sector average.</w:t>
      </w:r>
    </w:p>
    <w:p>
      <w:r>
        <w:t>PAT</w:t>
      </w:r>
    </w:p>
    <w:p>
      <w:r>
        <w:t>The Profit After Tax (PAT) is ₹[PAT_AMOUNT], which is below the sector average.</w:t>
      </w:r>
    </w:p>
    <w:p>
      <w:r>
        <w:t>Imputed Income</w:t>
      </w:r>
    </w:p>
    <w:p>
      <w:r>
        <w:t>The imputed income is calculated to be ₹[IMPUTED_INCOME_AMOUNT], taking into account the company's performance and sector benchmarks.</w:t>
      </w:r>
    </w:p>
    <w:p>
      <w:r>
        <w:t>EMI</w:t>
      </w:r>
    </w:p>
    <w:p>
      <w:r>
        <w:t>The Equated Monthly Installment (EMI) is estimated to be ₹[EMI_AMOUNT], based on the recommended loan amount and interest rate.</w:t>
      </w:r>
    </w:p>
    <w:p>
      <w:r>
        <w:t>TOL/TNW</w:t>
      </w:r>
    </w:p>
    <w:p>
      <w:r>
        <w:t>The Total Outstanding Liability (TOL) is ₹[TOL_AMOUNT], and the Tangible Net Worth (TNW) is ₹[TNW_AMOUNT]. The TOL/TNW ratio is [TOL_TNW_RATIO], which is above the recommended level.</w:t>
      </w:r>
    </w:p>
    <w:p>
      <w:r>
        <w:t>Debt/Equity</w:t>
      </w:r>
    </w:p>
    <w:p>
      <w:r>
        <w:t>The debt-to-equity ratio is [DEBT_EQUITY_RATIO], which is higher than the sector average.</w:t>
      </w:r>
    </w:p>
    <w:p>
      <w:r>
        <w:t>DSCR</w:t>
      </w:r>
    </w:p>
    <w:p>
      <w:r>
        <w:t>The Debt Service Coverage Ratio (DSCR) is [DSCR_RATIO], which is below the recommended level of 1.2x as per RBI guidelines.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[VISIT_REPORT]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₹22.5 Lakhs before disbursement.</w:t>
      </w:r>
    </w:p>
    <w:p>
      <w:r>
        <w:t>2. Additional Collateral Required: Collateral coverage ratio minimum 1.5x of the loan amount. The current gap is estimated at ₹1.5 Lakhs based on a PD of 50.1%.</w:t>
      </w:r>
    </w:p>
    <w:p>
      <w:r>
        <w:t>3. Document Resubmission: The current OCR confidence score is 8.4%. CA-certified financial statements with a seal are required within 15 days of sanction.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TCS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