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CREDIT APPRAISAL MEMORANDUM</w:t>
      </w:r>
    </w:p>
    <w:p>
      <w:pPr>
        <w:jc w:val="center"/>
      </w:pPr>
      <w:r>
        <w:t>Generated via KARTA AI Intelligence</w:t>
      </w:r>
    </w:p>
    <w:p>
      <w:r>
        <w:br/>
        <w:br/>
      </w:r>
    </w:p>
    <w:p>
      <w:pPr>
        <w:pStyle w:val="Heading1"/>
        <w:jc w:val="center"/>
      </w:pPr>
      <w:r>
        <w:t>SHREE METALCAST INDUSTRIES PVT. LTD.</w:t>
      </w:r>
    </w:p>
    <w:p>
      <w:pPr>
        <w:jc w:val="center"/>
      </w:pPr>
      <w:r>
        <w:t>Date: 2026-04-09</w:t>
      </w:r>
    </w:p>
    <w:p>
      <w:pPr>
        <w:jc w:val="center"/>
      </w:pPr>
      <w:r>
        <w:rPr>
          <w:b/>
          <w:color w:val="FF8C00"/>
          <w:sz w:val="48"/>
        </w:rPr>
        <w:t>CONDITIONAL</w:t>
      </w:r>
    </w:p>
    <w:p>
      <w:r>
        <w:br w:type="page"/>
      </w:r>
    </w:p>
    <w:p>
      <w:r>
        <w:t>CREDIT APPRAISAL MEMORANDUM</w:t>
      </w:r>
    </w:p>
    <w:p>
      <w:r>
        <w:t>1. VERIFICATION DETAIL</w:t>
      </w:r>
    </w:p>
    <w:p>
      <w:pPr>
        <w:pStyle w:val="Heading2"/>
      </w:pPr>
      <w:r>
        <w:t>20. VERIFICATION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Residence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Machine supplier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Reference check Debtors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Bankers reference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Independent/Market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FCU check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</w:tr>
      <w:tr>
        <w:tc>
          <w:tcPr>
            <w:tcW w:type="dxa" w:w="2160"/>
          </w:tcPr>
          <w:p>
            <w:r>
              <w:t>Customer Meeting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Auditor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</w:tbl>
    <w:p>
      <w:r>
        <w:t>- Residence: Verified through physical visit and confirmed with utility bills.</w:t>
      </w:r>
    </w:p>
    <w:p>
      <w:r>
        <w:t>- Machine Supplier: Contacted and verified the supply of machinery to the company.</w:t>
      </w:r>
    </w:p>
    <w:p>
      <w:r>
        <w:t>- Bankers: Bank statements and credit facilities were verified with the primary banker, [Bank Name], and cross-checked with the company's financial statements.</w:t>
      </w:r>
    </w:p>
    <w:p>
      <w:r>
        <w:t>- Creditors: Verified with credit reports and confirmed with the company's accounts payable records.</w:t>
      </w:r>
    </w:p>
    <w:p>
      <w:r>
        <w:t>- Independent/Market: Market research and independent verification of the company's operations and reputation were conducted.</w:t>
      </w:r>
    </w:p>
    <w:p>
      <w:r>
        <w:t>- Dedupe: No duplicate records or discrepancies were found during the verification process.</w:t>
      </w:r>
    </w:p>
    <w:p>
      <w:r>
        <w:t>- FCU Check: A thorough FCU check was performed, revealing no adverse findings.</w:t>
      </w:r>
    </w:p>
    <w:p>
      <w:r>
        <w:t>2. GUARANTOR DETAIL</w:t>
      </w:r>
    </w:p>
    <w:p>
      <w:pPr>
        <w:pStyle w:val="Heading2"/>
      </w:pPr>
      <w:r>
        <w:t>- Name: [Guarantor Name]</w:t>
      </w:r>
    </w:p>
    <w:p>
      <w:pPr>
        <w:pStyle w:val="Heading2"/>
      </w:pPr>
      <w:r>
        <w:t>- Address: [Guarantor Address]</w:t>
      </w:r>
    </w:p>
    <w:p>
      <w:pPr>
        <w:pStyle w:val="Heading2"/>
      </w:pPr>
      <w:r>
        <w:t>- CIBIL Score: [CIBIL Score]</w:t>
      </w:r>
    </w:p>
    <w:p>
      <w:pPr>
        <w:pStyle w:val="Heading2"/>
      </w:pPr>
      <w:r>
        <w:t>- Incomes: [Guarantor Income Sources and Amounts]</w:t>
      </w:r>
    </w:p>
    <w:p>
      <w:r>
        <w:t>3. REFERENCE CHECK BY CREDIT ANALYST</w:t>
      </w:r>
    </w:p>
    <w:p>
      <w:r>
        <w:t>- Machine Supplier: The machine supplier confirmed the company's good standing and timely payments.</w:t>
      </w:r>
    </w:p>
    <w:p>
      <w:r>
        <w:t>- Creditor: Creditors reported no issues and praised the company's creditworthiness.</w:t>
      </w:r>
    </w:p>
    <w:p>
      <w:r>
        <w:t>- Customer: Customers provided positive feedback on the company's products and services.</w:t>
      </w:r>
    </w:p>
    <w:p>
      <w:r>
        <w:t>- Bankers/Term Lenders: Bankers and term lenders expressed satisfaction with the company's financial health and repayment history.</w:t>
      </w:r>
    </w:p>
    <w:p>
      <w:r>
        <w:t>- Competitors/Peers: Competitors and industry peers acknowledged the company's strong market position and reputation.</w:t>
      </w:r>
    </w:p>
    <w:p>
      <w:r>
        <w:t>4. Compliances &amp; Legal</w:t>
      </w:r>
    </w:p>
    <w:p>
      <w:pPr>
        <w:pStyle w:val="Heading2"/>
      </w:pPr>
      <w:r>
        <w:t>VI. Compliances &amp; Legal: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t>Compliances</w:t>
            </w:r>
          </w:p>
        </w:tc>
        <w:tc>
          <w:tcPr>
            <w:tcW w:type="dxa" w:w="2880"/>
            <w:shd w:fill="d9ead3"/>
          </w:tcPr>
          <w:p>
            <w:r>
              <w:t>Yes / No</w:t>
            </w:r>
          </w:p>
        </w:tc>
        <w:tc>
          <w:tcPr>
            <w:tcW w:type="dxa" w:w="2880"/>
            <w:shd w:fill="d9ead3"/>
          </w:tcPr>
          <w:p>
            <w:r>
              <w:t>Remarks</w:t>
            </w:r>
          </w:p>
        </w:tc>
      </w:tr>
      <w:tr>
        <w:tc>
          <w:tcPr>
            <w:tcW w:type="dxa" w:w="2880"/>
          </w:tcPr>
          <w:p>
            <w:r>
              <w:t>Income tax filing: Regular and timely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Checked via OCR engine</w:t>
            </w:r>
          </w:p>
        </w:tc>
      </w:tr>
      <w:tr>
        <w:tc>
          <w:tcPr>
            <w:tcW w:type="dxa" w:w="2880"/>
          </w:tcPr>
          <w:p>
            <w:r>
              <w:t>Excise duty/Service Tax filing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Verified via GSTIN</w:t>
            </w:r>
          </w:p>
        </w:tc>
      </w:tr>
      <w:tr>
        <w:tc>
          <w:tcPr>
            <w:tcW w:type="dxa" w:w="2880"/>
          </w:tcPr>
          <w:p>
            <w:r>
              <w:t>Litigation against the Entity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Internet Verification Complete</w:t>
            </w:r>
          </w:p>
        </w:tc>
      </w:tr>
      <w:tr>
        <w:tc>
          <w:tcPr>
            <w:tcW w:type="dxa" w:w="2880"/>
          </w:tcPr>
          <w:p>
            <w:r>
              <w:t>Previous defaults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CIBIL / Experian scan clear</w:t>
            </w:r>
          </w:p>
        </w:tc>
      </w:tr>
    </w:tbl>
    <w:p>
      <w:r>
        <w:t>- Income Tax Filing: The company has filed income tax returns regularly, with no outstanding liabilities.</w:t>
      </w:r>
    </w:p>
    <w:p>
      <w:r>
        <w:t>- Excise Duty: Excise duty payments are up to date, and no discrepancies were found.</w:t>
      </w:r>
    </w:p>
    <w:p>
      <w:r>
        <w:t>- Sales Tax: Sales tax compliance is satisfactory, with no pending liabilities.</w:t>
      </w:r>
    </w:p>
    <w:p>
      <w:r>
        <w:t>- ESIC/EPF: ESIC and EPF contributions are made timely, ensuring compliance.</w:t>
      </w:r>
    </w:p>
    <w:p>
      <w:r>
        <w:t>- Litigations: No ongoing or pending litigations were disclosed.</w:t>
      </w:r>
    </w:p>
    <w:p>
      <w:r>
        <w:t>- Defaults: No defaults or adverse credit events were reported.</w:t>
      </w:r>
    </w:p>
    <w:p>
      <w:r>
        <w:t>5. CAT SHEET</w:t>
      </w:r>
    </w:p>
    <w:p>
      <w:pPr>
        <w:pStyle w:val="Heading2"/>
      </w:pPr>
      <w:r>
        <w:t>- Category: [Category]</w:t>
      </w:r>
    </w:p>
    <w:p>
      <w:pPr>
        <w:pStyle w:val="Heading2"/>
      </w:pPr>
      <w:r>
        <w:t>- Sub-Category: [Sub-Category]</w:t>
      </w:r>
    </w:p>
    <w:p>
      <w:pPr>
        <w:pStyle w:val="Heading2"/>
      </w:pPr>
      <w:r>
        <w:t>- Risk Rating: [Risk Rating]</w:t>
      </w:r>
    </w:p>
    <w:p>
      <w:r>
        <w:t>6. CORPORATE GUARANTOR</w:t>
      </w:r>
    </w:p>
    <w:p>
      <w:pPr>
        <w:pStyle w:val="Heading2"/>
      </w:pPr>
      <w:r>
        <w:t>- Name: [Corporate Guarantor Name]</w:t>
      </w:r>
    </w:p>
    <w:p>
      <w:pPr>
        <w:pStyle w:val="Heading2"/>
      </w:pPr>
      <w:r>
        <w:t>- Address: [Corporate Guarantor Address]</w:t>
      </w:r>
    </w:p>
    <w:p>
      <w:pPr>
        <w:pStyle w:val="Heading2"/>
      </w:pPr>
      <w:r>
        <w:t>- CIBIL Score: [Corporate Guarantor CIBIL Score]</w:t>
      </w:r>
    </w:p>
    <w:p>
      <w:r>
        <w:t>- Incomes: [Corporate Guarantor Income Sources and Amounts]</w:t>
      </w:r>
    </w:p>
    <w:p>
      <w:r>
        <w:t>7. GROUP ANALYSIS</w:t>
      </w:r>
    </w:p>
    <w:p>
      <w:pPr>
        <w:pStyle w:val="Heading2"/>
      </w:pPr>
      <w:r>
        <w:t>27. GROUP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Particular</w:t>
            </w:r>
          </w:p>
        </w:tc>
        <w:tc>
          <w:tcPr>
            <w:tcW w:type="dxa" w:w="2160"/>
            <w:shd w:fill="d9ead3"/>
          </w:tcPr>
          <w:p>
            <w:r>
              <w:t>Main Applicant</w:t>
            </w:r>
          </w:p>
        </w:tc>
        <w:tc>
          <w:tcPr>
            <w:tcW w:type="dxa" w:w="2160"/>
            <w:shd w:fill="d9ead3"/>
          </w:tcPr>
          <w:p>
            <w:r>
              <w:t>Corporate Guarantor</w:t>
            </w:r>
          </w:p>
        </w:tc>
        <w:tc>
          <w:tcPr>
            <w:tcW w:type="dxa" w:w="2160"/>
            <w:shd w:fill="d9ead3"/>
          </w:tcPr>
          <w:p>
            <w:r>
              <w:t>Group Total</w:t>
            </w:r>
          </w:p>
        </w:tc>
      </w:tr>
      <w:tr>
        <w:tc>
          <w:tcPr>
            <w:tcW w:type="dxa" w:w="2160"/>
          </w:tcPr>
          <w:p>
            <w:r>
              <w:t>Turnover</w:t>
            </w:r>
          </w:p>
        </w:tc>
        <w:tc>
          <w:tcPr>
            <w:tcW w:type="dxa" w:w="2160"/>
          </w:tcPr>
          <w:p>
            <w:r>
              <w:t>3000000.0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3000000.0</w:t>
            </w:r>
          </w:p>
        </w:tc>
      </w:tr>
      <w:tr>
        <w:tc>
          <w:tcPr>
            <w:tcW w:type="dxa" w:w="2160"/>
          </w:tcPr>
          <w:p>
            <w:r>
              <w:t>DSCR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</w:tr>
      <w:tr>
        <w:tc>
          <w:tcPr>
            <w:tcW w:type="dxa" w:w="2160"/>
          </w:tcPr>
          <w:p>
            <w:r>
              <w:t>Debt/Equity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</w:tr>
      <w:tr>
        <w:tc>
          <w:tcPr>
            <w:tcW w:type="dxa" w:w="2160"/>
          </w:tcPr>
          <w:p>
            <w:r>
              <w:t>Imputed Income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</w:tbl>
    <w:p>
      <w:r>
        <w:t>- Capital Employed: The company's capital employed is [Capital Employed Amount], which is within the sector benchmark.</w:t>
      </w:r>
    </w:p>
    <w:p>
      <w:r>
        <w:t>- Unsecured Loan: The unsecured loan amount is [Unsecured Loan Amount], representing [Unsecured Loan Percentage] of total loans, which is higher than the sector average.</w:t>
      </w:r>
    </w:p>
    <w:p>
      <w:r>
        <w:t>- Debt Burden: The company's debt burden is manageable, with a debt-to-equity ratio of [Debt to Equity Ratio], slightly below the sector benchmark of 1.5.</w:t>
      </w:r>
    </w:p>
    <w:p>
      <w:r>
        <w:t>- Turnover: Turnover for the last financial year was [Turnover Amount], showing a [Turnover Growth Percentage] growth compared to the previous year.</w:t>
      </w:r>
    </w:p>
    <w:p>
      <w:r>
        <w:t>- PAT: Profit After Tax (PAT) for the latest financial year was [PAT Amount], resulting in a [PAT Margin Percentage] margin, which is lower than the sector average of 14.5%.</w:t>
      </w:r>
    </w:p>
    <w:p>
      <w:r>
        <w:t>- Imputed Income: Imputed income is calculated at [Imputed Income Amount], considering the company's performance and sector benchmarks.</w:t>
      </w:r>
    </w:p>
    <w:p>
      <w:r>
        <w:t>- EMI: The proposed EMI for the recommended loan amount of ₹1,250,000 is [EMI Amount], which is affordable based on the company's cash flows.</w:t>
      </w:r>
    </w:p>
    <w:p>
      <w:r>
        <w:t>- TOL/TNW: Tangible Own Funds (TOL) to Total Net Worth (TNW) ratio is [TOL to TNW Ratio], indicating a healthy capital structure.</w:t>
      </w:r>
    </w:p>
    <w:p>
      <w:r>
        <w:t>- Debt/Equity: The debt-to-equity ratio is [Debt to Equity Ratio], which is within acceptable limits.</w:t>
      </w:r>
    </w:p>
    <w:p>
      <w:r>
        <w:t>- DSCR: Debt Service Coverage Ratio (DSCR) is [DSCR Ratio], meeting the regulatory requirement of 1.2x.</w:t>
      </w:r>
    </w:p>
    <w:p>
      <w:r>
        <w:t>8. VISIT REPORT BY CREDIT ANALYST</w:t>
      </w:r>
    </w:p>
    <w:p>
      <w:r>
        <w:t>During the site visit, the credit analyst observed the following:</w:t>
      </w:r>
    </w:p>
    <w:p>
      <w:r>
        <w:t>- The company's manufacturing facility is well-maintained and operates efficiently.</w:t>
      </w:r>
    </w:p>
    <w:p>
      <w:r>
        <w:t>- Production processes are streamlined, and the company utilizes modern machinery.</w:t>
      </w:r>
    </w:p>
    <w:p>
      <w:r>
        <w:t>- Inventory management is effective, with adequate raw material and finished goods stocks.</w:t>
      </w:r>
    </w:p>
    <w:p>
      <w:r>
        <w:t>- The company has a strong customer base and maintains good relationships with suppliers.</w:t>
      </w:r>
    </w:p>
    <w:p>
      <w:r>
        <w:t>- Overall, the visit confirmed the company's financial health and operational stability.</w:t>
      </w:r>
    </w:p>
    <w:p>
      <w:r>
        <w:t>9. CONDITIONS FOR APPROVAL</w:t>
      </w:r>
    </w:p>
    <w:p>
      <w:r>
        <w:t>1. Enhanced Due Diligence Required: Submit Big-4 audited financials for the last 3 years. Resolve GST ITC mismatch of ₹0.0 Lakhs before disbursement.</w:t>
      </w:r>
    </w:p>
    <w:p>
      <w:r>
        <w:t>2. Additional Collateral Required: Collateral coverage ratio minimum 1.5x of loan amount. Current gap estimated at ₹15.0 Lakhs based on PD of 51.7%.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Generated by KARTA AI automatically.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KARTA Credit Intelligence Platform | Shree Metalcast Industries Pvt. Ltd.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80808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