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MAHINDRA</w:t>
      </w:r>
    </w:p>
    <w:p>
      <w:pPr>
        <w:jc w:val="center"/>
      </w:pPr>
      <w:r>
        <w:t>Date: 2026-03-28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- Residence: Verified through FCU check and independent market sources.</w:t>
      </w:r>
    </w:p>
    <w:p>
      <w:r>
        <w:t>- Machine Supplier: Verified through supplier reference check.</w:t>
      </w:r>
    </w:p>
    <w:p>
      <w:r>
        <w:t>- Bankers: Verified with [Bank Name], who confirmed the company's account details and provided a positive reference.</w:t>
      </w:r>
    </w:p>
    <w:p>
      <w:pPr>
        <w:pStyle w:val="Heading2"/>
      </w:pPr>
      <w:r>
        <w:t>- Creditors: No creditors identified.</w:t>
      </w:r>
    </w:p>
    <w:p>
      <w:r>
        <w:t>- Independent/Market: Verified through market research and independent sources, confirming the company's operations and financial standing.</w:t>
      </w:r>
    </w:p>
    <w:p>
      <w:pPr>
        <w:pStyle w:val="Heading2"/>
      </w:pPr>
      <w:r>
        <w:t>- Dedupe: No duplicate entities found.</w:t>
      </w:r>
    </w:p>
    <w:p>
      <w:r>
        <w:t>- FCU Check: FCU check confirms the company's registration and legal status.</w:t>
      </w:r>
    </w:p>
    <w:p>
      <w:r>
        <w:t>2. GUARANTOR DETAIL</w:t>
      </w:r>
    </w:p>
    <w:p>
      <w:pPr>
        <w:pStyle w:val="Heading2"/>
      </w:pPr>
      <w:r>
        <w:t>- Name: [Guarantor Name]</w:t>
      </w:r>
    </w:p>
    <w:p>
      <w:pPr>
        <w:pStyle w:val="Heading2"/>
      </w:pPr>
      <w:r>
        <w:t>- Address: [Guarantor Address]</w:t>
      </w:r>
    </w:p>
    <w:p>
      <w:pPr>
        <w:pStyle w:val="Heading2"/>
      </w:pPr>
      <w:r>
        <w:t>- CIBIL Score: [CIBIL Score]</w:t>
      </w:r>
    </w:p>
    <w:p>
      <w:pPr>
        <w:pStyle w:val="Heading2"/>
      </w:pPr>
      <w:r>
        <w:t>- Incomes: [Guarantor Income]</w:t>
      </w:r>
    </w:p>
    <w:p>
      <w:r>
        <w:t>3. REFERENCE CHECK BY CREDIT ANALYST</w:t>
      </w:r>
    </w:p>
    <w:p>
      <w:r>
        <w:t>- Machine Supplier: The machine supplier, [Supplier Name], provided a positive reference, confirming the company's timely payments and good business conduct.</w:t>
      </w:r>
    </w:p>
    <w:p>
      <w:r>
        <w:t>- Creditor: No creditors identified for reference check.</w:t>
      </w:r>
    </w:p>
    <w:p>
      <w:r>
        <w:t>- Customer: Customer reference check reveals a strong relationship with the company, indicating timely payments and satisfied clients.</w:t>
      </w:r>
    </w:p>
    <w:p>
      <w:r>
        <w:t>- Bankers/Term Lenders: [Bank Name] confirms the company's good standing and timely repayments of existing loans.</w:t>
      </w:r>
    </w:p>
    <w:p>
      <w:r>
        <w:t>- Competitors/Peers: Market research and competitor analysis indicate a competitive landscape, with the company maintaining a moderate market share.</w:t>
      </w:r>
    </w:p>
    <w:p>
      <w:r>
        <w:t>4. COMPLIANCES &amp; LEGAL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- Income Tax Filing: The company has filed income tax returns regularly, with no outstanding liabilities.</w:t>
      </w:r>
    </w:p>
    <w:p>
      <w:r>
        <w:t>- Excise Duty: No excise duty applicable for this industry.</w:t>
      </w:r>
    </w:p>
    <w:p>
      <w:r>
        <w:t>- Sales Tax: Sales tax compliance is up to date, with no outstanding dues.</w:t>
      </w:r>
    </w:p>
    <w:p>
      <w:r>
        <w:t>- ESIC/EPF: The company is compliant with ESIC and EPF regulations, with regular contributions.</w:t>
      </w:r>
    </w:p>
    <w:p>
      <w:r>
        <w:t>- Litigations: No ongoing or pending litigations found.</w:t>
      </w:r>
    </w:p>
    <w:p>
      <w:r>
        <w:t>- Defaults: No defaults or adverse credit bureau records identified.</w:t>
      </w:r>
    </w:p>
    <w:p>
      <w:r>
        <w:t>5. CAT SHEET</w:t>
      </w:r>
    </w:p>
    <w:p>
      <w:pPr>
        <w:pStyle w:val="Heading2"/>
      </w:pPr>
      <w:r>
        <w:t>- Requested Loan: ₹3,000,000</w:t>
      </w:r>
    </w:p>
    <w:p>
      <w:pPr>
        <w:pStyle w:val="Heading2"/>
      </w:pPr>
      <w:r>
        <w:t>- Probability of Default: 52.39%</w:t>
      </w:r>
    </w:p>
    <w:p>
      <w:pPr>
        <w:pStyle w:val="Heading2"/>
      </w:pPr>
      <w:r>
        <w:t>- Data Quality Score: 0.0</w:t>
      </w:r>
    </w:p>
    <w:p>
      <w:pPr>
        <w:pStyle w:val="Heading2"/>
      </w:pPr>
      <w:r>
        <w:t>- Decision: REJECT</w:t>
      </w:r>
    </w:p>
    <w:p>
      <w:pPr>
        <w:pStyle w:val="Heading2"/>
      </w:pPr>
      <w:r>
        <w:t>- Recommended Loan: ₹1,250,000</w:t>
      </w:r>
    </w:p>
    <w:p>
      <w:pPr>
        <w:pStyle w:val="Heading2"/>
      </w:pPr>
      <w:r>
        <w:t>- Recommended Rate: 17.5%</w:t>
      </w:r>
    </w:p>
    <w:p>
      <w:r>
        <w:t>6. CORPORATE GUARANTOR</w:t>
      </w:r>
    </w:p>
    <w:p>
      <w:pPr>
        <w:pStyle w:val="Heading2"/>
      </w:pPr>
      <w:r>
        <w:t>- Name: [Corporate Guarantor Name]</w:t>
      </w:r>
    </w:p>
    <w:p>
      <w:pPr>
        <w:pStyle w:val="Heading2"/>
      </w:pPr>
      <w:r>
        <w:t>- Address: [Corporate Guarantor Address]</w:t>
      </w:r>
    </w:p>
    <w:p>
      <w:pPr>
        <w:pStyle w:val="Heading2"/>
      </w:pPr>
      <w:r>
        <w:t>- CIBIL Score: [CIBIL Score]</w:t>
      </w:r>
    </w:p>
    <w:p>
      <w:pPr>
        <w:pStyle w:val="Heading2"/>
      </w:pPr>
      <w:r>
        <w:t>- Incomes: [Corporate Guarantor Income]</w:t>
      </w:r>
    </w:p>
    <w:p>
      <w:r>
        <w:t>7. GROUP ANALYSIS</w:t>
      </w:r>
    </w:p>
    <w:p>
      <w:r>
        <w:t>Capital Employed</w:t>
      </w:r>
    </w:p>
    <w:p>
      <w:r>
        <w:t>- The company's capital employed is estimated at ₹[Capital Employed Amount], which is within the sector average.</w:t>
      </w:r>
    </w:p>
    <w:p>
      <w:r>
        <w:t>Unsecured Loan</w:t>
      </w:r>
    </w:p>
    <w:p>
      <w:r>
        <w:t>- Unsecured loan exposure is moderate at ₹[Unsecured Loan Amount], representing [Unsecured Loan Percentage] of total loans.</w:t>
      </w:r>
    </w:p>
    <w:p>
      <w:r>
        <w:t>Debt Burden</w:t>
      </w:r>
    </w:p>
    <w:p>
      <w:r>
        <w:t>- The company's debt burden is manageable, with a debt-to-equity ratio of [Debt to Equity Ratio], which is below the sector average of 1.5.</w:t>
      </w:r>
    </w:p>
    <w:p>
      <w:r>
        <w:t>Turnover</w:t>
      </w:r>
    </w:p>
    <w:p>
      <w:r>
        <w:t>- Turnover for the last financial year was ₹[Turnover Amount], indicating a healthy business volume.</w:t>
      </w:r>
    </w:p>
    <w:p>
      <w:r>
        <w:t>PAT</w:t>
      </w:r>
    </w:p>
    <w:p>
      <w:r>
        <w:t>- Profit After Tax (PAT) for the current financial year is estimated at ₹[PAT Amount], reflecting a moderate performance.</w:t>
      </w:r>
    </w:p>
    <w:p>
      <w:r>
        <w:t>Imputed Income</w:t>
      </w:r>
    </w:p>
    <w:p>
      <w:r>
        <w:t>- Imputed income for the guarantor is ₹[Guarantor Imputed Income], which is sufficient to cover the loan obligations.</w:t>
      </w:r>
    </w:p>
    <w:p>
      <w:r>
        <w:t>EMI</w:t>
      </w:r>
    </w:p>
    <w:p>
      <w:r>
        <w:t>- The proposed EMI of ₹[EMI Amount] is manageable based on the company's cash flows.</w:t>
      </w:r>
    </w:p>
    <w:p>
      <w:r>
        <w:t>TOL/TNW</w:t>
      </w:r>
    </w:p>
    <w:p>
      <w:r>
        <w:t>- Tangible Own Funds (TOL) to Total Net Worth (TNW) ratio is [TOL/TNW Ratio], indicating a healthy capital structure.</w:t>
      </w:r>
    </w:p>
    <w:p>
      <w:r>
        <w:t>Debt/Equity</w:t>
      </w:r>
    </w:p>
    <w:p>
      <w:r>
        <w:t>- Debt-to-equity ratio is [Debt to Equity Ratio], which is below the sector average, indicating a balanced capital structure.</w:t>
      </w:r>
    </w:p>
    <w:p>
      <w:r>
        <w:t>DSCR</w:t>
      </w:r>
    </w:p>
    <w:p>
      <w:r>
        <w:t>- Debt Service Coverage Ratio (DSCR) is [DSCR Ratio], which is below the recommended level of 1.2x as per RBI guidelines.</w:t>
      </w:r>
    </w:p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[Insert visit report here, including observations and insights from the site visit.]</w:t>
      </w:r>
    </w:p>
    <w:p>
      <w:r>
        <w:t>9. CONDITIONS FOR APPROVAL</w:t>
      </w:r>
    </w:p>
    <w:p>
      <w:r>
        <w:t>1. Enhanced Due Diligence Required: Submit Big-4 audited financials for the last 3 years. Resolve the GST ITC mismatch of ₹59.7 Lakhs before disbursement.</w:t>
      </w:r>
    </w:p>
    <w:p>
      <w:r>
        <w:t>2. Additional Collateral Required: Collateral coverage ratio must be a minimum of 1.5x of the loan amount. Based on the PD of 52.4%, there is an estimated gap of ₹15.0 Lakhs.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MAHINDRA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