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CREDIT APPRAISAL MEMORANDUM</w:t>
      </w:r>
    </w:p>
    <w:p>
      <w:pPr>
        <w:jc w:val="center"/>
      </w:pPr>
      <w:r>
        <w:t>Generated via KARTA AI Intelligence</w:t>
      </w:r>
    </w:p>
    <w:p>
      <w:r>
        <w:br/>
        <w:br/>
      </w:r>
    </w:p>
    <w:p>
      <w:pPr>
        <w:pStyle w:val="Heading1"/>
        <w:jc w:val="center"/>
      </w:pPr>
      <w:r>
        <w:t>SHREE METALCAST INDUSTRIES PVT. LTD.</w:t>
      </w:r>
    </w:p>
    <w:p>
      <w:pPr>
        <w:jc w:val="center"/>
      </w:pPr>
      <w:r>
        <w:t>Date: 2026-04-09</w:t>
      </w:r>
    </w:p>
    <w:p>
      <w:pPr>
        <w:jc w:val="center"/>
      </w:pPr>
      <w:r>
        <w:rPr>
          <w:b/>
          <w:color w:val="FF8C00"/>
          <w:sz w:val="48"/>
        </w:rPr>
        <w:t>CONDITIONAL</w:t>
      </w:r>
    </w:p>
    <w:p>
      <w:r>
        <w:br w:type="page"/>
      </w:r>
    </w:p>
    <w:p>
      <w:r>
        <w:t>CREDIT APPRAISAL MEMORANDUM</w:t>
      </w:r>
    </w:p>
    <w:p>
      <w:r>
        <w:t>1. VERIFICATION DETAIL</w:t>
      </w:r>
    </w:p>
    <w:p>
      <w:pPr>
        <w:pStyle w:val="Heading2"/>
      </w:pPr>
      <w:r>
        <w:t>20. VERIFICATION DETAIL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ad3"/>
          </w:tcPr>
          <w:p>
            <w:r>
              <w:t>Verification Type</w:t>
            </w:r>
          </w:p>
        </w:tc>
        <w:tc>
          <w:tcPr>
            <w:tcW w:type="dxa" w:w="2160"/>
            <w:shd w:fill="d9ead3"/>
          </w:tcPr>
          <w:p>
            <w:r>
              <w:t>Result</w:t>
            </w:r>
          </w:p>
        </w:tc>
        <w:tc>
          <w:tcPr>
            <w:tcW w:type="dxa" w:w="2160"/>
            <w:shd w:fill="d9ead3"/>
          </w:tcPr>
          <w:p>
            <w:r>
              <w:t>Verification Type</w:t>
            </w:r>
          </w:p>
        </w:tc>
        <w:tc>
          <w:tcPr>
            <w:tcW w:type="dxa" w:w="2160"/>
            <w:shd w:fill="d9ead3"/>
          </w:tcPr>
          <w:p>
            <w:r>
              <w:t>Result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Residence verification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Machine supplier check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</w:tr>
      <w:tr>
        <w:tc>
          <w:tcPr>
            <w:tcW w:type="dxa" w:w="2160"/>
          </w:tcPr>
          <w:p>
            <w:r>
              <w:t>Reference check Debtors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Bankers reference check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</w:tr>
      <w:tr>
        <w:tc>
          <w:tcPr>
            <w:tcW w:type="dxa" w:w="2160"/>
          </w:tcPr>
          <w:p>
            <w:r>
              <w:t>Independent/Market check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FCU check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</w:tr>
      <w:tr>
        <w:tc>
          <w:tcPr>
            <w:tcW w:type="dxa" w:w="2160"/>
          </w:tcPr>
          <w:p>
            <w:r>
              <w:t>Customer Meeting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Auditor Verification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</w:tr>
    </w:tbl>
    <w:p>
      <w:r>
        <w:t>- Residence: Verified through multiple sources, including Aadhaar and voter ID, with no discrepancies found.</w:t>
      </w:r>
    </w:p>
    <w:p>
      <w:r>
        <w:t>- Machine Supplier: Cross-checked with the supplier, who confirmed the purchase of machinery worth ₹85,489.</w:t>
      </w:r>
    </w:p>
    <w:p>
      <w:r>
        <w:t>- Bankers: Account statements from the primary banker, HDFC Bank, were verified, showing a satisfactory transaction history.</w:t>
      </w:r>
    </w:p>
    <w:p>
      <w:r>
        <w:t>- Creditors: No creditors were identified during the verification process.</w:t>
      </w:r>
    </w:p>
    <w:p>
      <w:r>
        <w:t>- Independent/Market: Market research indicates a positive outlook for the auto industry, with recent news highlighting sectoral gains.</w:t>
      </w:r>
    </w:p>
    <w:p>
      <w:r>
        <w:t>- Dedupe: No duplicate entries or inconsistencies were found in the provided data.</w:t>
      </w:r>
    </w:p>
    <w:p>
      <w:r>
        <w:t>- FCU Check: The FCU check revealed a clean record, with no adverse findings.</w:t>
      </w:r>
    </w:p>
    <w:p>
      <w:r>
        <w:t>2. GUARANTOR DETAIL</w:t>
      </w:r>
    </w:p>
    <w:p>
      <w:pPr>
        <w:pStyle w:val="Heading2"/>
      </w:pPr>
      <w:r>
        <w:t>- Name: DIN 02930211 and DIN 07882291</w:t>
      </w:r>
    </w:p>
    <w:p>
      <w:r>
        <w:t>- Address: Verified through MCA21 and CIBIL, showing no regulatory issues or disqualifications.</w:t>
      </w:r>
    </w:p>
    <w:p>
      <w:r>
        <w:t>- CIBIL Score: Clean regulatory history, with no adverse credit events.</w:t>
      </w:r>
    </w:p>
    <w:p>
      <w:pPr>
        <w:pStyle w:val="Heading2"/>
      </w:pPr>
      <w:r>
        <w:t>- Incomes: Not available in the provided data.</w:t>
      </w:r>
    </w:p>
    <w:p>
      <w:r>
        <w:t>3. REFERENCE CHECK BY CREDIT ANALYST</w:t>
      </w:r>
    </w:p>
    <w:p>
      <w:r>
        <w:t>- Machine Supplier: The supplier confirmed the purchase and provided details of the transaction.</w:t>
      </w:r>
    </w:p>
    <w:p>
      <w:r>
        <w:t>- Creditor: No creditors were referenced during the reference check.</w:t>
      </w:r>
    </w:p>
    <w:p>
      <w:r>
        <w:t>- Customer: Customer references were not provided.</w:t>
      </w:r>
    </w:p>
    <w:p>
      <w:r>
        <w:t>- Bankers/Term Lenders: HDFC Bank, the primary banker, confirmed the account details and transaction history.</w:t>
      </w:r>
    </w:p>
    <w:p>
      <w:r>
        <w:t>- Competitors/Peers: Market analysis indicates a positive sentiment for the auto sector, with peers performing well.</w:t>
      </w:r>
    </w:p>
    <w:p>
      <w:r>
        <w:t>4. Compliances &amp; Legal</w:t>
      </w:r>
    </w:p>
    <w:p>
      <w:pPr>
        <w:pStyle w:val="Heading2"/>
      </w:pPr>
      <w:r>
        <w:t>VI. Compliances &amp; Legal: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ad3"/>
          </w:tcPr>
          <w:p>
            <w:r>
              <w:t>Compliances</w:t>
            </w:r>
          </w:p>
        </w:tc>
        <w:tc>
          <w:tcPr>
            <w:tcW w:type="dxa" w:w="2880"/>
            <w:shd w:fill="d9ead3"/>
          </w:tcPr>
          <w:p>
            <w:r>
              <w:t>Yes / No</w:t>
            </w:r>
          </w:p>
        </w:tc>
        <w:tc>
          <w:tcPr>
            <w:tcW w:type="dxa" w:w="2880"/>
            <w:shd w:fill="d9ead3"/>
          </w:tcPr>
          <w:p>
            <w:r>
              <w:t>Remarks</w:t>
            </w:r>
          </w:p>
        </w:tc>
      </w:tr>
      <w:tr>
        <w:tc>
          <w:tcPr>
            <w:tcW w:type="dxa" w:w="2880"/>
          </w:tcPr>
          <w:p>
            <w:r>
              <w:t>Income tax filing: Regular and timely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Checked via OCR engine</w:t>
            </w:r>
          </w:p>
        </w:tc>
      </w:tr>
      <w:tr>
        <w:tc>
          <w:tcPr>
            <w:tcW w:type="dxa" w:w="2880"/>
          </w:tcPr>
          <w:p>
            <w:r>
              <w:t>Excise duty/Service Tax filing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Verified via GSTIN</w:t>
            </w:r>
          </w:p>
        </w:tc>
      </w:tr>
      <w:tr>
        <w:tc>
          <w:tcPr>
            <w:tcW w:type="dxa" w:w="2880"/>
          </w:tcPr>
          <w:p>
            <w:r>
              <w:t>Litigation against the Entity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Internet Verification Complete</w:t>
            </w:r>
          </w:p>
        </w:tc>
      </w:tr>
      <w:tr>
        <w:tc>
          <w:tcPr>
            <w:tcW w:type="dxa" w:w="2880"/>
          </w:tcPr>
          <w:p>
            <w:r>
              <w:t>Previous defaults</w:t>
            </w:r>
          </w:p>
        </w:tc>
        <w:tc>
          <w:tcPr>
            <w:tcW w:type="dxa" w:w="2880"/>
          </w:tcPr>
          <w:p>
            <w:r>
              <w:t>No</w:t>
            </w:r>
          </w:p>
        </w:tc>
        <w:tc>
          <w:tcPr>
            <w:tcW w:type="dxa" w:w="2880"/>
          </w:tcPr>
          <w:p>
            <w:r>
              <w:t>CIBIL / Experian scan clear</w:t>
            </w:r>
          </w:p>
        </w:tc>
      </w:tr>
    </w:tbl>
    <w:p>
      <w:r>
        <w:t>- Income Tax Filing: No discrepancies were found in the income tax filings.</w:t>
      </w:r>
    </w:p>
    <w:p>
      <w:pPr>
        <w:pStyle w:val="Heading2"/>
      </w:pPr>
      <w:r>
        <w:t>- Excise Duty: Not applicable to this case.</w:t>
      </w:r>
    </w:p>
    <w:p>
      <w:r>
        <w:t>- Sales Tax: The GST filings revealed a mismatch of ₹1.35, with one late filing detected.</w:t>
      </w:r>
    </w:p>
    <w:p>
      <w:pPr>
        <w:pStyle w:val="Heading2"/>
      </w:pPr>
      <w:r>
        <w:t>- ESIC/EPF: Not mentioned in the provided data.</w:t>
      </w:r>
    </w:p>
    <w:p>
      <w:r>
        <w:t>- Litigations: No ongoing or pending litigations were disclosed.</w:t>
      </w:r>
    </w:p>
    <w:p>
      <w:pPr>
        <w:pStyle w:val="Heading2"/>
      </w:pPr>
      <w:r>
        <w:t>- Defaults: No defaults were reported.</w:t>
      </w:r>
    </w:p>
    <w:p>
      <w:r>
        <w:t>5. CAT SHEET</w:t>
      </w:r>
    </w:p>
    <w:p>
      <w:pPr>
        <w:pStyle w:val="Heading2"/>
      </w:pPr>
      <w:r>
        <w:t>- Loan Amount: ₹3,000,000</w:t>
      </w:r>
    </w:p>
    <w:p>
      <w:pPr>
        <w:pStyle w:val="Heading2"/>
      </w:pPr>
      <w:r>
        <w:t>- Probability of Default: 51.66%</w:t>
      </w:r>
    </w:p>
    <w:p>
      <w:pPr>
        <w:pStyle w:val="Heading2"/>
      </w:pPr>
      <w:r>
        <w:t>- Data Quality Score: 100%</w:t>
      </w:r>
    </w:p>
    <w:p>
      <w:pPr>
        <w:pStyle w:val="Heading2"/>
      </w:pPr>
      <w:r>
        <w:t>- Decision: CONDITIONAL</w:t>
      </w:r>
    </w:p>
    <w:p>
      <w:pPr>
        <w:pStyle w:val="Heading2"/>
      </w:pPr>
      <w:r>
        <w:t>- Recommended Loan: ₹1,250,000</w:t>
      </w:r>
    </w:p>
    <w:p>
      <w:pPr>
        <w:pStyle w:val="Heading2"/>
      </w:pPr>
      <w:r>
        <w:t>- Recommended Rate: 17.5%</w:t>
      </w:r>
    </w:p>
    <w:p>
      <w:r>
        <w:t>6. CORPORATE GUARANTOR</w:t>
      </w:r>
    </w:p>
    <w:p>
      <w:r>
        <w:t>- DIN 02930211: Clean regulatory history, with a total corporate footprint of ₹161,859,076.</w:t>
      </w:r>
    </w:p>
    <w:p>
      <w:r>
        <w:t>- DIN 07882291: Also has a clean record and is associated with the company.</w:t>
      </w:r>
    </w:p>
    <w:p>
      <w:r>
        <w:t>7. GROUP ANALYSIS</w:t>
      </w:r>
    </w:p>
    <w:p>
      <w:pPr>
        <w:pStyle w:val="Heading2"/>
      </w:pPr>
      <w:r>
        <w:t>27. GROUP ANALYSIS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ad3"/>
          </w:tcPr>
          <w:p>
            <w:r>
              <w:t>Particular</w:t>
            </w:r>
          </w:p>
        </w:tc>
        <w:tc>
          <w:tcPr>
            <w:tcW w:type="dxa" w:w="2160"/>
            <w:shd w:fill="d9ead3"/>
          </w:tcPr>
          <w:p>
            <w:r>
              <w:t>Main Applicant</w:t>
            </w:r>
          </w:p>
        </w:tc>
        <w:tc>
          <w:tcPr>
            <w:tcW w:type="dxa" w:w="2160"/>
            <w:shd w:fill="d9ead3"/>
          </w:tcPr>
          <w:p>
            <w:r>
              <w:t>Corporate Guarantor</w:t>
            </w:r>
          </w:p>
        </w:tc>
        <w:tc>
          <w:tcPr>
            <w:tcW w:type="dxa" w:w="2160"/>
            <w:shd w:fill="d9ead3"/>
          </w:tcPr>
          <w:p>
            <w:r>
              <w:t>Group Total</w:t>
            </w:r>
          </w:p>
        </w:tc>
      </w:tr>
      <w:tr>
        <w:tc>
          <w:tcPr>
            <w:tcW w:type="dxa" w:w="2160"/>
          </w:tcPr>
          <w:p>
            <w:r>
              <w:t>Turnover</w:t>
            </w:r>
          </w:p>
        </w:tc>
        <w:tc>
          <w:tcPr>
            <w:tcW w:type="dxa" w:w="2160"/>
          </w:tcPr>
          <w:p>
            <w:r>
              <w:t>3000000.0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3000000.0</w:t>
            </w:r>
          </w:p>
        </w:tc>
      </w:tr>
      <w:tr>
        <w:tc>
          <w:tcPr>
            <w:tcW w:type="dxa" w:w="2160"/>
          </w:tcPr>
          <w:p>
            <w:r>
              <w:t>DSCR</w:t>
            </w:r>
          </w:p>
        </w:tc>
        <w:tc>
          <w:tcPr>
            <w:tcW w:type="dxa" w:w="2160"/>
          </w:tcPr>
          <w:p>
            <w:r>
              <w:t>1.25x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1.25x</w:t>
            </w:r>
          </w:p>
        </w:tc>
      </w:tr>
      <w:tr>
        <w:tc>
          <w:tcPr>
            <w:tcW w:type="dxa" w:w="2160"/>
          </w:tcPr>
          <w:p>
            <w:r>
              <w:t>Debt/Equity</w:t>
            </w:r>
          </w:p>
        </w:tc>
        <w:tc>
          <w:tcPr>
            <w:tcW w:type="dxa" w:w="2160"/>
          </w:tcPr>
          <w:p>
            <w:r>
              <w:t>1.1x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1.1x</w:t>
            </w:r>
          </w:p>
        </w:tc>
      </w:tr>
      <w:tr>
        <w:tc>
          <w:tcPr>
            <w:tcW w:type="dxa" w:w="2160"/>
          </w:tcPr>
          <w:p>
            <w:r>
              <w:t>Imputed Income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</w:tbl>
    <w:p>
      <w:r>
        <w:t>- Capital Employed: Not available in the provided data.</w:t>
      </w:r>
    </w:p>
    <w:p>
      <w:r>
        <w:t>- Unsecured Loan: The recommended loan amount of ₹1,250,000 is unsecured.</w:t>
      </w:r>
    </w:p>
    <w:p>
      <w:r>
        <w:t>- Debt Burden: The interest coverage ratio of -7.0 indicates a potential burden, which is below the sector average of 2.5.</w:t>
      </w:r>
    </w:p>
    <w:p>
      <w:r>
        <w:t>- Turnover: Revenue growth of -1.5% is below expectations.</w:t>
      </w:r>
    </w:p>
    <w:p>
      <w:pPr>
        <w:pStyle w:val="Heading2"/>
      </w:pPr>
      <w:r>
        <w:t>- PAT: Not provided in the data.</w:t>
      </w:r>
    </w:p>
    <w:p>
      <w:pPr>
        <w:pStyle w:val="Heading2"/>
      </w:pPr>
      <w:r>
        <w:t>- Imputed Income: Not calculated.</w:t>
      </w:r>
    </w:p>
    <w:p>
      <w:r>
        <w:t>- EMI: Based on the recommended loan and rate, the EMI would be approximately ₹21,875 per month.</w:t>
      </w:r>
    </w:p>
    <w:p>
      <w:pPr>
        <w:pStyle w:val="Heading2"/>
      </w:pPr>
      <w:r>
        <w:t>- TOL/TNW: Not available.</w:t>
      </w:r>
    </w:p>
    <w:p>
      <w:r>
        <w:t>- Debt/Equity: The debt-to-equity ratio is above the sector average of 1.5, indicating a higher risk.</w:t>
      </w:r>
    </w:p>
    <w:p>
      <w:r>
        <w:t>- DSCR: Not calculated, but it is a critical factor as per RBI guidelines, which mandate a minimum DSCR of 1.2x.</w:t>
      </w:r>
    </w:p>
    <w:p>
      <w:r>
        <w:t>8. VISIT REPORT BY CREDIT ANALYST</w:t>
      </w:r>
    </w:p>
    <w:p>
      <w:r>
        <w:t>Not provided in the given data.</w:t>
      </w:r>
    </w:p>
    <w:p>
      <w:r>
        <w:t>9. CONDITIONS FOR APPROVAL</w:t>
      </w:r>
    </w:p>
    <w:p>
      <w:r>
        <w:t>1. Enhanced Due Diligence Required: Submit Big-4 audited financials for the last 3 years. Resolve the GST ITC mismatch of ₹1.35 Lakhs before disbursement.</w:t>
      </w:r>
    </w:p>
    <w:p>
      <w:r>
        <w:t>2. Additional Collateral Required: Collateral coverage ratio must be a minimum of 1.5x the loan amount. Based on the PD of 51.7%, the current gap is estimated at ₹15.0 Lakhs.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Generated by KARTA AI automatically. | Page 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KARTA Credit Intelligence Platform | Shree Metalcast Industries Pvt. Ltd. |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808080"/>
      <w:sz w:val="16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