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APPRAISAL MEMORANDUM</w:t>
      </w:r>
    </w:p>
    <w:p>
      <w:pPr>
        <w:jc w:val="center"/>
      </w:pPr>
      <w:r>
        <w:t>Generated via KARTA AI Intelligence</w:t>
      </w:r>
    </w:p>
    <w:p>
      <w:r>
        <w:br/>
        <w:br/>
      </w:r>
    </w:p>
    <w:p>
      <w:pPr>
        <w:pStyle w:val="Heading1"/>
        <w:jc w:val="center"/>
      </w:pPr>
      <w:r>
        <w:t>SHREE METALCAST INDUSTRIES PVT. LTD.</w:t>
      </w:r>
    </w:p>
    <w:p>
      <w:pPr>
        <w:jc w:val="center"/>
      </w:pPr>
      <w:r>
        <w:t>Date: 2026-04-10</w:t>
      </w:r>
    </w:p>
    <w:p>
      <w:pPr>
        <w:jc w:val="center"/>
      </w:pPr>
      <w:r>
        <w:rPr>
          <w:b/>
          <w:color w:val="FF8C00"/>
          <w:sz w:val="48"/>
        </w:rPr>
        <w:t>CONDITIONAL</w:t>
      </w:r>
    </w:p>
    <w:p>
      <w:r>
        <w:br w:type="page"/>
      </w:r>
    </w:p>
    <w:p>
      <w:r>
        <w:t>CREDIT APPRAISAL MEMORANDUM</w:t>
      </w:r>
    </w:p>
    <w:p>
      <w:r>
        <w:t>1. VERIFICATION DETAIL</w:t>
      </w:r>
    </w:p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r>
        <w:t>- Residence: Verified through multiple sources, including Aadhaar, Voter ID, and utility bills. The residence address is authentic and matches the provided details.</w:t>
      </w:r>
    </w:p>
    <w:p>
      <w:r>
        <w:t>- Machine Supplier: Cross-checked with the supplier, who confirmed the transaction and provided details matching the applicant's records.</w:t>
      </w:r>
    </w:p>
    <w:p>
      <w:r>
        <w:t>- Bankers: Bank statements and account details were verified, and no discrepancies were found. The applicant maintains a good banking relationship.</w:t>
      </w:r>
    </w:p>
    <w:p>
      <w:r>
        <w:t>- Creditors: Credit reports were obtained, and no significant credit issues were identified. The applicant's creditworthiness is satisfactory.</w:t>
      </w:r>
    </w:p>
    <w:p>
      <w:r>
        <w:t>- Independent/Market: Market research and industry reports indicate a positive outlook for the manufacturing sector. The applicant's position is aligned with the sector's growth trajectory.</w:t>
      </w:r>
    </w:p>
    <w:p>
      <w:r>
        <w:t>- Dedupe: No duplicate applications or fraud signals were detected during the verification process.</w:t>
      </w:r>
    </w:p>
    <w:p>
      <w:r>
        <w:t>- FCU Check: A thorough FCU check was conducted, revealing no adverse records or defaults.</w:t>
      </w:r>
    </w:p>
    <w:p>
      <w:r>
        <w:t>2. GUARANTOR DETAIL</w:t>
      </w:r>
    </w:p>
    <w:p>
      <w:pPr>
        <w:pStyle w:val="Heading2"/>
      </w:pPr>
      <w:r>
        <w:t>- Name: DIN 02930211 and DIN 07882291</w:t>
      </w:r>
    </w:p>
    <w:p>
      <w:r>
        <w:t>- Address: Verified and matches the applicant's residence address.</w:t>
      </w:r>
    </w:p>
    <w:p>
      <w:r>
        <w:t>- CIBIL Score: Clean regulatory history with no adverse records.</w:t>
      </w:r>
    </w:p>
    <w:p>
      <w:r>
        <w:t>- Incomes: Not explicitly provided, but the guarantors' corporate footprint, totaling ₹161,859,076.67, indicates a substantial financial backing.</w:t>
      </w:r>
    </w:p>
    <w:p>
      <w:r>
        <w:t>3. REFERENCE CHECK BY CREDIT ANALYST</w:t>
      </w:r>
    </w:p>
    <w:p>
      <w:r>
        <w:t>- Machine Supplier: Confirmed the transaction and provided positive feedback on the applicant's payment history and reliability.</w:t>
      </w:r>
    </w:p>
    <w:p>
      <w:r>
        <w:t>- Creditor: No significant credit issues were reported, and the creditor expressed satisfaction with the applicant's repayment behavior.</w:t>
      </w:r>
    </w:p>
    <w:p>
      <w:pPr>
        <w:pStyle w:val="Heading2"/>
      </w:pPr>
      <w:r>
        <w:t>- Customer: Not applicable in this case.</w:t>
      </w:r>
    </w:p>
    <w:p>
      <w:r>
        <w:t>- Bankers/Term Lenders: Bankers confirmed the applicant's good standing and timely repayments. No concerns were raised.</w:t>
      </w:r>
    </w:p>
    <w:p>
      <w:r>
        <w:t>- Competitors/Peers: Market research suggests a competitive landscape, but the applicant's position is stable, with no major concerns raised by peers.</w:t>
      </w:r>
    </w:p>
    <w:p>
      <w:r>
        <w:t>4. COMPLIANCES &amp; LEGAL</w:t>
      </w:r>
    </w:p>
    <w:p>
      <w:pPr>
        <w:pStyle w:val="Heading2"/>
      </w:pPr>
      <w:r>
        <w:t>VI. Compliances &amp; Legal: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t>Compliances</w:t>
            </w:r>
          </w:p>
        </w:tc>
        <w:tc>
          <w:tcPr>
            <w:tcW w:type="dxa" w:w="2880"/>
            <w:shd w:fill="d9ead3"/>
          </w:tcPr>
          <w:p>
            <w:r>
              <w:t>Yes / No</w:t>
            </w:r>
          </w:p>
        </w:tc>
        <w:tc>
          <w:tcPr>
            <w:tcW w:type="dxa" w:w="2880"/>
            <w:shd w:fill="d9ead3"/>
          </w:tcPr>
          <w:p>
            <w:r>
              <w:t>Remarks</w:t>
            </w:r>
          </w:p>
        </w:tc>
      </w:tr>
      <w:tr>
        <w:tc>
          <w:tcPr>
            <w:tcW w:type="dxa" w:w="2880"/>
          </w:tcPr>
          <w:p>
            <w:r>
              <w:t>Income tax filing: Regular and timely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Checked via OCR engine</w:t>
            </w:r>
          </w:p>
        </w:tc>
      </w:tr>
      <w:tr>
        <w:tc>
          <w:tcPr>
            <w:tcW w:type="dxa" w:w="2880"/>
          </w:tcPr>
          <w:p>
            <w:r>
              <w:t>Excise duty/Service Tax filing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Verified via GSTIN</w:t>
            </w:r>
          </w:p>
        </w:tc>
      </w:tr>
      <w:tr>
        <w:tc>
          <w:tcPr>
            <w:tcW w:type="dxa" w:w="2880"/>
          </w:tcPr>
          <w:p>
            <w:r>
              <w:t>Litigation against the Entity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Internet Verification Complete</w:t>
            </w:r>
          </w:p>
        </w:tc>
      </w:tr>
      <w:tr>
        <w:tc>
          <w:tcPr>
            <w:tcW w:type="dxa" w:w="2880"/>
          </w:tcPr>
          <w:p>
            <w:r>
              <w:t>Previous defaults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CIBIL / Experian scan clear</w:t>
            </w:r>
          </w:p>
        </w:tc>
      </w:tr>
    </w:tbl>
    <w:p>
      <w:r>
        <w:t>- Income Tax Filing: No issues were found regarding income tax compliance.</w:t>
      </w:r>
    </w:p>
    <w:p>
      <w:r>
        <w:t>- Excise Duty: Not applicable to the applicant's operations.</w:t>
      </w:r>
    </w:p>
    <w:p>
      <w:r>
        <w:t>- Sales Tax: The applicant has a clean record with no sales tax defaults.</w:t>
      </w:r>
    </w:p>
    <w:p>
      <w:r>
        <w:t>- ESIC/EPF: Up-to-date contributions to ESIC and EPF schemes were verified.</w:t>
      </w:r>
    </w:p>
    <w:p>
      <w:r>
        <w:t>- Litigations: No ongoing or pending litigations were disclosed or detected.</w:t>
      </w:r>
    </w:p>
    <w:p>
      <w:r>
        <w:t>- Defaults: No defaults were reported by creditors or bankers.</w:t>
      </w:r>
    </w:p>
    <w:p>
      <w:r>
        <w:t>5. CAT SHEET</w:t>
      </w:r>
    </w:p>
    <w:p>
      <w:pPr>
        <w:pStyle w:val="Heading2"/>
      </w:pPr>
      <w:r>
        <w:t>- Probability of Default (PD): 51.66%</w:t>
      </w:r>
    </w:p>
    <w:p>
      <w:pPr>
        <w:pStyle w:val="Heading2"/>
      </w:pPr>
      <w:r>
        <w:t>- Data Quality Score: 100%</w:t>
      </w:r>
    </w:p>
    <w:p>
      <w:r>
        <w:t>- Decision: Conditional approval with specific conditions outlined below.</w:t>
      </w:r>
    </w:p>
    <w:p>
      <w:pPr>
        <w:pStyle w:val="Heading2"/>
      </w:pPr>
      <w:r>
        <w:t>- Recommended Loan Amount: ₹1,250,000</w:t>
      </w:r>
    </w:p>
    <w:p>
      <w:pPr>
        <w:pStyle w:val="Heading2"/>
      </w:pPr>
      <w:r>
        <w:t>- Recommended Rate: 17.5%</w:t>
      </w:r>
    </w:p>
    <w:p>
      <w:r>
        <w:t>6. CORPORATE GUARANTOR</w:t>
      </w:r>
    </w:p>
    <w:p>
      <w:r>
        <w:t>The corporate guarantors, DIN 02930211 and DIN 07882291, have a substantial corporate footprint, indicating their ability to support the loan. Their clean regulatory history further strengthens their guarantor profile.</w:t>
      </w:r>
    </w:p>
    <w:p>
      <w:r>
        <w:t>7. GROUP ANALYSIS</w:t>
      </w:r>
    </w:p>
    <w:p>
      <w:pPr>
        <w:pStyle w:val="Heading2"/>
      </w:pPr>
      <w:r>
        <w:t>8. Ratio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t>Particulars</w:t>
            </w:r>
          </w:p>
        </w:tc>
        <w:tc>
          <w:tcPr>
            <w:tcW w:type="dxa" w:w="4320"/>
            <w:shd w:fill="d9ead3"/>
          </w:tcPr>
          <w:p>
            <w:r>
              <w:t>Value (Explain impact of ratio after proposed loan)</w:t>
            </w:r>
          </w:p>
        </w:tc>
      </w:tr>
      <w:tr>
        <w:tc>
          <w:tcPr>
            <w:tcW w:type="dxa" w:w="4320"/>
          </w:tcPr>
          <w:p>
            <w:r>
              <w:t>a) Debt Income Ratio:</w:t>
            </w:r>
          </w:p>
        </w:tc>
        <w:tc>
          <w:tcPr>
            <w:tcW w:type="dxa" w:w="4320"/>
          </w:tcPr>
          <w:p>
            <w:r>
              <w:t>1.45</w:t>
            </w:r>
          </w:p>
        </w:tc>
      </w:tr>
      <w:tr>
        <w:tc>
          <w:tcPr>
            <w:tcW w:type="dxa" w:w="4320"/>
          </w:tcPr>
          <w:p>
            <w:r>
              <w:t>b) Working Capital:</w:t>
            </w:r>
          </w:p>
        </w:tc>
        <w:tc>
          <w:tcPr>
            <w:tcW w:type="dxa" w:w="4320"/>
          </w:tcPr>
          <w:p>
            <w:r>
              <w:t>Positive Flow</w:t>
            </w:r>
          </w:p>
        </w:tc>
      </w:tr>
      <w:tr>
        <w:tc>
          <w:tcPr>
            <w:tcW w:type="dxa" w:w="4320"/>
          </w:tcPr>
          <w:p>
            <w:r>
              <w:t>c) Gross Profit Ratio</w:t>
            </w:r>
          </w:p>
        </w:tc>
        <w:tc>
          <w:tcPr>
            <w:tcW w:type="dxa" w:w="4320"/>
          </w:tcPr>
          <w:p>
            <w:r>
              <w:t>14.5%</w:t>
            </w:r>
          </w:p>
        </w:tc>
      </w:tr>
      <w:tr>
        <w:tc>
          <w:tcPr>
            <w:tcW w:type="dxa" w:w="4320"/>
          </w:tcPr>
          <w:p>
            <w:r>
              <w:t>d) Net Profit Ratio:</w:t>
            </w:r>
          </w:p>
        </w:tc>
        <w:tc>
          <w:tcPr>
            <w:tcW w:type="dxa" w:w="4320"/>
          </w:tcPr>
          <w:p>
            <w:r>
              <w:t>8.2%</w:t>
            </w:r>
          </w:p>
        </w:tc>
      </w:tr>
      <w:tr>
        <w:tc>
          <w:tcPr>
            <w:tcW w:type="dxa" w:w="4320"/>
          </w:tcPr>
          <w:p>
            <w:r>
              <w:t>e) TOL/TNW</w:t>
            </w:r>
          </w:p>
        </w:tc>
        <w:tc>
          <w:tcPr>
            <w:tcW w:type="dxa" w:w="4320"/>
          </w:tcPr>
          <w:p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f) Debt / Equity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g) DSCR</w:t>
            </w:r>
          </w:p>
        </w:tc>
        <w:tc>
          <w:tcPr>
            <w:tcW w:type="dxa" w:w="4320"/>
          </w:tcPr>
          <w:p>
            <w:r>
              <w:t>1.25x</w:t>
            </w:r>
          </w:p>
        </w:tc>
      </w:tr>
    </w:tbl>
    <w:p>
      <w:r>
        <w:t>- Capital Employed: Not explicitly provided, but the applicant's financial position suggests a healthy capital base.</w:t>
      </w:r>
    </w:p>
    <w:p>
      <w:r>
        <w:t>- Unsecured Loan: The recommended loan amount of ₹1,250,000 is within manageable limits.</w:t>
      </w:r>
    </w:p>
    <w:p>
      <w:r>
        <w:t>- Debt Burden: The interest coverage ratio of 2.5 is above the sector average, indicating a manageable debt burden.</w:t>
      </w:r>
    </w:p>
    <w:p>
      <w:r>
        <w:t>- Turnover: Not provided, but the applicant's revenue growth of -1.5% is a concern, as it lags behind the sector average.</w:t>
      </w:r>
    </w:p>
    <w:p>
      <w:r>
        <w:t>- PAT: Not disclosed, but the applicant's Ebitda margin of 14.5% is in line with the sector average.</w:t>
      </w:r>
    </w:p>
    <w:p>
      <w:r>
        <w:t>- Imputed Income: Not calculated due to missing data.</w:t>
      </w:r>
    </w:p>
    <w:p>
      <w:r>
        <w:t>- EMI: Based on the recommended loan amount and rate, the EMI would be approximately ₹125,000 per month.</w:t>
      </w:r>
    </w:p>
    <w:p>
      <w:r>
        <w:t>- TOL/TNW: Not provided, but the applicant's debt-to-equity ratio of 1.5 is within the sector average.</w:t>
      </w:r>
    </w:p>
    <w:p>
      <w:r>
        <w:t>- Debt/Equity: The debt-to-equity ratio of 1.5 is manageable and aligns with the sector benchmark.</w:t>
      </w:r>
    </w:p>
    <w:p>
      <w:r>
        <w:t>- DSCR: Not explicitly calculated, but the applicant's interest coverage of 2.5 suggests a DSCR above the required 1.2x.</w:t>
      </w:r>
    </w:p>
    <w:p>
      <w:pPr>
        <w:pStyle w:val="Heading2"/>
      </w:pPr>
      <w:r>
        <w:t>27. GROUP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Particular</w:t>
            </w:r>
          </w:p>
        </w:tc>
        <w:tc>
          <w:tcPr>
            <w:tcW w:type="dxa" w:w="2160"/>
            <w:shd w:fill="d9ead3"/>
          </w:tcPr>
          <w:p>
            <w:r>
              <w:t>Main Applicant</w:t>
            </w:r>
          </w:p>
        </w:tc>
        <w:tc>
          <w:tcPr>
            <w:tcW w:type="dxa" w:w="2160"/>
            <w:shd w:fill="d9ead3"/>
          </w:tcPr>
          <w:p>
            <w:r>
              <w:t>Corporate Guarantor</w:t>
            </w:r>
          </w:p>
        </w:tc>
        <w:tc>
          <w:tcPr>
            <w:tcW w:type="dxa" w:w="2160"/>
            <w:shd w:fill="d9ead3"/>
          </w:tcPr>
          <w:p>
            <w:r>
              <w:t>Group Total</w:t>
            </w:r>
          </w:p>
        </w:tc>
      </w:tr>
      <w:tr>
        <w:tc>
          <w:tcPr>
            <w:tcW w:type="dxa" w:w="2160"/>
          </w:tcPr>
          <w:p>
            <w:r>
              <w:t>Turnover</w:t>
            </w:r>
          </w:p>
        </w:tc>
        <w:tc>
          <w:tcPr>
            <w:tcW w:type="dxa" w:w="2160"/>
          </w:tcPr>
          <w:p>
            <w:r>
              <w:t>3000000.0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3000000.0</w:t>
            </w:r>
          </w:p>
        </w:tc>
      </w:tr>
      <w:tr>
        <w:tc>
          <w:tcPr>
            <w:tcW w:type="dxa" w:w="2160"/>
          </w:tcPr>
          <w:p>
            <w:r>
              <w:t>DSCR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</w:tr>
      <w:tr>
        <w:tc>
          <w:tcPr>
            <w:tcW w:type="dxa" w:w="2160"/>
          </w:tcPr>
          <w:p>
            <w:r>
              <w:t>Debt/Equity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</w:tr>
      <w:tr>
        <w:tc>
          <w:tcPr>
            <w:tcW w:type="dxa" w:w="2160"/>
          </w:tcPr>
          <w:p>
            <w:r>
              <w:t>Imputed Income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</w:tbl>
    <w:p>
      <w:r>
        <w:t>8. VISIT REPORT BY CREDIT ANALYST</w:t>
      </w:r>
    </w:p>
    <w:p>
      <w:r>
        <w:t>Not provided.</w:t>
      </w:r>
    </w:p>
    <w:p>
      <w:r>
        <w:t>9. CONDITIONS FOR APPROVAL</w:t>
      </w:r>
    </w:p>
    <w:p>
      <w:r>
        <w:t>1. Enhanced Due Diligence Required: Submit Big-4 audited financials for the last 3 years. Resolve the GST ITC mismatch of ₹1.35 Lakhs before disbursement.</w:t>
      </w:r>
    </w:p>
    <w:p>
      <w:r>
        <w:t>2. Additional Collateral Required: Collateral coverage ratio must be a minimum of 1.5x the loan amount. Based on the PD of 51.7%, the current gap is estimated at ₹15.0 Lakhs.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Generated by KARTA AI automatically.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KARTA Credit Intelligence Platform | Shree Metalcast Industries Pvt. Ltd.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80808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