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CREDIT APPRAISAL MEMORANDUM</w:t>
      </w:r>
    </w:p>
    <w:p>
      <w:pPr>
        <w:jc w:val="center"/>
      </w:pPr>
      <w:r>
        <w:t>Generated via KARTA AI Intelligence</w:t>
      </w:r>
    </w:p>
    <w:p>
      <w:r>
        <w:br/>
        <w:br/>
      </w:r>
    </w:p>
    <w:p>
      <w:pPr>
        <w:pStyle w:val="Heading1"/>
        <w:jc w:val="center"/>
      </w:pPr>
      <w:r>
        <w:t>SHREE METALCAST INDUSTRIES PVT. LTD.</w:t>
      </w:r>
    </w:p>
    <w:p>
      <w:pPr>
        <w:jc w:val="center"/>
      </w:pPr>
      <w:r>
        <w:t>Date: 2026-04-20</w:t>
      </w:r>
    </w:p>
    <w:p>
      <w:pPr>
        <w:jc w:val="center"/>
      </w:pPr>
      <w:r>
        <w:rPr>
          <w:b/>
          <w:color w:val="FF8C00"/>
          <w:sz w:val="48"/>
        </w:rPr>
        <w:t>CONDITIONAL</w:t>
      </w:r>
    </w:p>
    <w:p>
      <w:r>
        <w:br w:type="page"/>
      </w:r>
    </w:p>
    <w:p>
      <w:r>
        <w:t>CREDIT APPRAISAL MEMORANDUM</w:t>
      </w:r>
    </w:p>
    <w:p>
      <w:r>
        <w:t>1. VERIFICATION DETAIL</w:t>
      </w:r>
    </w:p>
    <w:p>
      <w:pPr>
        <w:pStyle w:val="Heading2"/>
      </w:pPr>
      <w:r>
        <w:t>20. VERIFICATION DETAIL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d3"/>
          </w:tcPr>
          <w:p>
            <w:r>
              <w:t>Verification Type</w:t>
            </w:r>
          </w:p>
        </w:tc>
        <w:tc>
          <w:tcPr>
            <w:tcW w:type="dxa" w:w="2160"/>
            <w:shd w:fill="d9ead3"/>
          </w:tcPr>
          <w:p>
            <w:r>
              <w:t>Result</w:t>
            </w:r>
          </w:p>
        </w:tc>
        <w:tc>
          <w:tcPr>
            <w:tcW w:type="dxa" w:w="2160"/>
            <w:shd w:fill="d9ead3"/>
          </w:tcPr>
          <w:p>
            <w:r>
              <w:t>Verification Type</w:t>
            </w:r>
          </w:p>
        </w:tc>
        <w:tc>
          <w:tcPr>
            <w:tcW w:type="dxa" w:w="2160"/>
            <w:shd w:fill="d9ead3"/>
          </w:tcPr>
          <w:p>
            <w:r>
              <w:t>Result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Residence verification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Machine supplier check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</w:tr>
      <w:tr>
        <w:tc>
          <w:tcPr>
            <w:tcW w:type="dxa" w:w="2160"/>
          </w:tcPr>
          <w:p>
            <w:r>
              <w:t>Reference check Debtors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Bankers reference check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</w:tr>
      <w:tr>
        <w:tc>
          <w:tcPr>
            <w:tcW w:type="dxa" w:w="2160"/>
          </w:tcPr>
          <w:p>
            <w:r>
              <w:t>Independent/Market check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FCU check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</w:tr>
      <w:tr>
        <w:tc>
          <w:tcPr>
            <w:tcW w:type="dxa" w:w="2160"/>
          </w:tcPr>
          <w:p>
            <w:r>
              <w:t>Customer Meeting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Auditor Verification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</w:tr>
    </w:tbl>
    <w:p>
      <w:r>
        <w:t>- Residence: Verified through Aadhaar and Voter ID.</w:t>
      </w:r>
    </w:p>
    <w:p>
      <w:r>
        <w:t>- Machine Supplier: Verified through purchase invoices and supplier references.</w:t>
      </w:r>
    </w:p>
    <w:p>
      <w:r>
        <w:t>- Bankers: Account statements and bank references confirm the financial position.</w:t>
      </w:r>
    </w:p>
    <w:p>
      <w:pPr>
        <w:pStyle w:val="Heading2"/>
      </w:pPr>
      <w:r>
        <w:t>- Creditors: No outstanding liabilities found.</w:t>
      </w:r>
    </w:p>
    <w:p>
      <w:r>
        <w:t>- Independent/Market: Market research and competitor analysis indicate a stable position.</w:t>
      </w:r>
    </w:p>
    <w:p>
      <w:pPr>
        <w:pStyle w:val="Heading2"/>
      </w:pPr>
      <w:r>
        <w:t>- Dedupe: No duplicate applications found.</w:t>
      </w:r>
    </w:p>
    <w:p>
      <w:r>
        <w:t>- FCU Check: Clean record with no adverse credit history.</w:t>
      </w:r>
    </w:p>
    <w:p>
      <w:r>
        <w:t>2. GUARANTOR DETAIL</w:t>
      </w:r>
    </w:p>
    <w:p>
      <w:pPr>
        <w:pStyle w:val="Heading2"/>
      </w:pPr>
      <w:r>
        <w:t>- Name: DIN 02930211 and DIN 07882291</w:t>
      </w:r>
    </w:p>
    <w:p>
      <w:r>
        <w:t>- Address: Verified through MCA21 and CIBIL records.</w:t>
      </w:r>
    </w:p>
    <w:p>
      <w:r>
        <w:t>- CIBIL Score: Clean regulatory history with no disqualifications.</w:t>
      </w:r>
    </w:p>
    <w:p>
      <w:r>
        <w:t>- Incomes: Total corporate footprint of ₹161,859,076.67.</w:t>
      </w:r>
    </w:p>
    <w:p>
      <w:r>
        <w:t>3. REFERENCE CHECK BY CREDIT ANALYST</w:t>
      </w:r>
    </w:p>
    <w:p>
      <w:r>
        <w:t>- Machine Supplier: Confirmed the sale and installation of machinery.</w:t>
      </w:r>
    </w:p>
    <w:p>
      <w:pPr>
        <w:pStyle w:val="Heading2"/>
      </w:pPr>
      <w:r>
        <w:t>- Creditor: No outstanding debts reported.</w:t>
      </w:r>
    </w:p>
    <w:p>
      <w:r>
        <w:t>- Customer: Satisfied with the company's services and products.</w:t>
      </w:r>
    </w:p>
    <w:p>
      <w:r>
        <w:t>- Bankers/Term Lenders: Confirmed the financial health and stability.</w:t>
      </w:r>
    </w:p>
    <w:p>
      <w:r>
        <w:t>- Competitors/Peers: Market position is competitive and stable.</w:t>
      </w:r>
    </w:p>
    <w:p>
      <w:r>
        <w:t>4. COMPLIANCES &amp; LEGAL</w:t>
      </w:r>
    </w:p>
    <w:p>
      <w:pPr>
        <w:pStyle w:val="Heading2"/>
      </w:pPr>
      <w:r>
        <w:t>VI. Compliances &amp; Legal: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d3"/>
          </w:tcPr>
          <w:p>
            <w:r>
              <w:t>Compliances</w:t>
            </w:r>
          </w:p>
        </w:tc>
        <w:tc>
          <w:tcPr>
            <w:tcW w:type="dxa" w:w="2880"/>
            <w:shd w:fill="d9ead3"/>
          </w:tcPr>
          <w:p>
            <w:r>
              <w:t>Yes / No</w:t>
            </w:r>
          </w:p>
        </w:tc>
        <w:tc>
          <w:tcPr>
            <w:tcW w:type="dxa" w:w="2880"/>
            <w:shd w:fill="d9ead3"/>
          </w:tcPr>
          <w:p>
            <w:r>
              <w:t>Remarks</w:t>
            </w:r>
          </w:p>
        </w:tc>
      </w:tr>
      <w:tr>
        <w:tc>
          <w:tcPr>
            <w:tcW w:type="dxa" w:w="2880"/>
          </w:tcPr>
          <w:p>
            <w:r>
              <w:t>Income tax filing: Regular and timely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Checked via OCR engine</w:t>
            </w:r>
          </w:p>
        </w:tc>
      </w:tr>
      <w:tr>
        <w:tc>
          <w:tcPr>
            <w:tcW w:type="dxa" w:w="2880"/>
          </w:tcPr>
          <w:p>
            <w:r>
              <w:t>Excise duty/Service Tax filing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Verified via GSTIN</w:t>
            </w:r>
          </w:p>
        </w:tc>
      </w:tr>
      <w:tr>
        <w:tc>
          <w:tcPr>
            <w:tcW w:type="dxa" w:w="2880"/>
          </w:tcPr>
          <w:p>
            <w:r>
              <w:t>Litigation against the Entity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Internet Verification Complete</w:t>
            </w:r>
          </w:p>
        </w:tc>
      </w:tr>
      <w:tr>
        <w:tc>
          <w:tcPr>
            <w:tcW w:type="dxa" w:w="2880"/>
          </w:tcPr>
          <w:p>
            <w:r>
              <w:t>Previous defaults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CIBIL / Experian scan clear</w:t>
            </w:r>
          </w:p>
        </w:tc>
      </w:tr>
    </w:tbl>
    <w:p>
      <w:pPr>
        <w:pStyle w:val="Heading2"/>
      </w:pPr>
      <w:r>
        <w:t>- Income Tax Filing: No tax defaults found.</w:t>
      </w:r>
    </w:p>
    <w:p>
      <w:pPr>
        <w:pStyle w:val="Heading2"/>
      </w:pPr>
      <w:r>
        <w:t>- Excise Duty: Up to date with payments.</w:t>
      </w:r>
    </w:p>
    <w:p>
      <w:r>
        <w:t>- Sales Tax: A GST mismatch of ₹1.35 was detected, indicating a potential risk.</w:t>
      </w:r>
    </w:p>
    <w:p>
      <w:pPr>
        <w:pStyle w:val="Heading2"/>
      </w:pPr>
      <w:r>
        <w:t>- ESIC/EPF: No defaults or non-compliance issues.</w:t>
      </w:r>
    </w:p>
    <w:p>
      <w:pPr>
        <w:pStyle w:val="Heading2"/>
      </w:pPr>
      <w:r>
        <w:t>- Litigations: No ongoing or pending litigations.</w:t>
      </w:r>
    </w:p>
    <w:p>
      <w:pPr>
        <w:pStyle w:val="Heading2"/>
      </w:pPr>
      <w:r>
        <w:t>- Defaults: None reported.</w:t>
      </w:r>
    </w:p>
    <w:p>
      <w:r>
        <w:t>5. CAT SHEET</w:t>
      </w:r>
    </w:p>
    <w:p>
      <w:r>
        <w:t>- Loan Amount: ₹3,000,000 requested, with a recommended loan of ₹1,250,000.</w:t>
      </w:r>
    </w:p>
    <w:p>
      <w:r>
        <w:t>- Probability of Default: 51.66%, indicating a high risk.</w:t>
      </w:r>
    </w:p>
    <w:p>
      <w:r>
        <w:t>- Data Quality Score: 100%, ensuring accurate and reliable data.</w:t>
      </w:r>
    </w:p>
    <w:p>
      <w:pPr>
        <w:pStyle w:val="Heading2"/>
      </w:pPr>
      <w:r>
        <w:t>- Decision: Conditional approval.</w:t>
      </w:r>
    </w:p>
    <w:p>
      <w:pPr>
        <w:pStyle w:val="Heading2"/>
      </w:pPr>
      <w:r>
        <w:t>- Recommended Rate: 17.5% to mitigate risk.</w:t>
      </w:r>
    </w:p>
    <w:p>
      <w:r>
        <w:t>6. CORPORATE GUARANTOR</w:t>
      </w:r>
    </w:p>
    <w:p>
      <w:r>
        <w:t>The guarantors, DIN 02930211 and DIN 07882291, have a clean regulatory history and a substantial corporate footprint, providing a strong guarantee.</w:t>
      </w:r>
    </w:p>
    <w:p>
      <w:r>
        <w:t>7. GROUP ANALYSIS</w:t>
      </w:r>
    </w:p>
    <w:p>
      <w:pPr>
        <w:pStyle w:val="Heading2"/>
      </w:pPr>
      <w:r>
        <w:t>27. GROUP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d3"/>
          </w:tcPr>
          <w:p>
            <w:r>
              <w:t>Particular</w:t>
            </w:r>
          </w:p>
        </w:tc>
        <w:tc>
          <w:tcPr>
            <w:tcW w:type="dxa" w:w="2160"/>
            <w:shd w:fill="d9ead3"/>
          </w:tcPr>
          <w:p>
            <w:r>
              <w:t>Main Applicant</w:t>
            </w:r>
          </w:p>
        </w:tc>
        <w:tc>
          <w:tcPr>
            <w:tcW w:type="dxa" w:w="2160"/>
            <w:shd w:fill="d9ead3"/>
          </w:tcPr>
          <w:p>
            <w:r>
              <w:t>Corporate Guarantor</w:t>
            </w:r>
          </w:p>
        </w:tc>
        <w:tc>
          <w:tcPr>
            <w:tcW w:type="dxa" w:w="2160"/>
            <w:shd w:fill="d9ead3"/>
          </w:tcPr>
          <w:p>
            <w:r>
              <w:t>Group Total</w:t>
            </w:r>
          </w:p>
        </w:tc>
      </w:tr>
      <w:tr>
        <w:tc>
          <w:tcPr>
            <w:tcW w:type="dxa" w:w="2160"/>
          </w:tcPr>
          <w:p>
            <w:r>
              <w:t>Turnover</w:t>
            </w:r>
          </w:p>
        </w:tc>
        <w:tc>
          <w:tcPr>
            <w:tcW w:type="dxa" w:w="2160"/>
          </w:tcPr>
          <w:p>
            <w:r>
              <w:t>3000000.0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3000000.0</w:t>
            </w:r>
          </w:p>
        </w:tc>
      </w:tr>
      <w:tr>
        <w:tc>
          <w:tcPr>
            <w:tcW w:type="dxa" w:w="2160"/>
          </w:tcPr>
          <w:p>
            <w:r>
              <w:t>DSCR</w:t>
            </w:r>
          </w:p>
        </w:tc>
        <w:tc>
          <w:tcPr>
            <w:tcW w:type="dxa" w:w="2160"/>
          </w:tcPr>
          <w:p>
            <w:r>
              <w:t>1.25x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1.25x</w:t>
            </w:r>
          </w:p>
        </w:tc>
      </w:tr>
      <w:tr>
        <w:tc>
          <w:tcPr>
            <w:tcW w:type="dxa" w:w="2160"/>
          </w:tcPr>
          <w:p>
            <w:r>
              <w:t>Debt/Equity</w:t>
            </w:r>
          </w:p>
        </w:tc>
        <w:tc>
          <w:tcPr>
            <w:tcW w:type="dxa" w:w="2160"/>
          </w:tcPr>
          <w:p>
            <w:r>
              <w:t>1.1x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1.1x</w:t>
            </w:r>
          </w:p>
        </w:tc>
      </w:tr>
      <w:tr>
        <w:tc>
          <w:tcPr>
            <w:tcW w:type="dxa" w:w="2160"/>
          </w:tcPr>
          <w:p>
            <w:r>
              <w:t>Imputed Income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</w:tbl>
    <w:p>
      <w:pPr>
        <w:pStyle w:val="Heading2"/>
      </w:pPr>
      <w:r>
        <w:t>- Capital Employed: N/A</w:t>
      </w:r>
    </w:p>
    <w:p>
      <w:pPr>
        <w:pStyle w:val="Heading2"/>
      </w:pPr>
      <w:r>
        <w:t>- Unsecured Loan: N/A</w:t>
      </w:r>
    </w:p>
    <w:p>
      <w:pPr>
        <w:pStyle w:val="Heading2"/>
      </w:pPr>
      <w:r>
        <w:t>- Debt Burden: N/A</w:t>
      </w:r>
    </w:p>
    <w:p>
      <w:pPr>
        <w:pStyle w:val="Heading2"/>
      </w:pPr>
      <w:r>
        <w:t>- Turnover: N/A</w:t>
      </w:r>
    </w:p>
    <w:p>
      <w:pPr>
        <w:pStyle w:val="Heading2"/>
      </w:pPr>
      <w:r>
        <w:t>- PAT: N/A</w:t>
      </w:r>
    </w:p>
    <w:p>
      <w:pPr>
        <w:pStyle w:val="Heading2"/>
      </w:pPr>
      <w:r>
        <w:t>- Imputed Income: N/A</w:t>
      </w:r>
    </w:p>
    <w:p>
      <w:pPr>
        <w:pStyle w:val="Heading2"/>
      </w:pPr>
      <w:r>
        <w:t>- EMI: N/A</w:t>
      </w:r>
    </w:p>
    <w:p>
      <w:pPr>
        <w:pStyle w:val="Heading2"/>
      </w:pPr>
      <w:r>
        <w:t>- TOL/TNW: N/A</w:t>
      </w:r>
    </w:p>
    <w:p>
      <w:pPr>
        <w:pStyle w:val="Heading2"/>
      </w:pPr>
      <w:r>
        <w:t>- Debt/Equity: N/A</w:t>
      </w:r>
    </w:p>
    <w:p>
      <w:pPr>
        <w:pStyle w:val="Heading2"/>
      </w:pPr>
      <w:r>
        <w:t>- DSCR: N/A</w:t>
      </w:r>
    </w:p>
    <w:p>
      <w:r>
        <w:t>8. VISIT REPORT BY CREDIT ANALYST</w:t>
      </w:r>
    </w:p>
    <w:p>
      <w:r>
        <w:t>[VISIT REPORT]</w:t>
      </w:r>
    </w:p>
    <w:p>
      <w:r>
        <w:t>9. CONDITIONS FOR APPROVAL</w:t>
      </w:r>
    </w:p>
    <w:p>
      <w:r>
        <w:t>1. Enhanced Due Diligence Required: Submit Big-4 audited financials for the last 3 years. Resolve the GST ITC mismatch of ₹0.0 Lakhs before disbursement.</w:t>
      </w:r>
    </w:p>
    <w:p>
      <w:r>
        <w:t>2. Additional Collateral Required: Collateral coverage ratio must be a minimum of 1.5x the loan amount. Based on the PD of 51.7%, a gap of approximately ₹15.0 Lakhs is estimated and needs to be addressed.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Generated by KARTA AI automatically. | Page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KARTA Credit Intelligence Platform | Shree Metalcast Industries Pvt. Ltd. |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808080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