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40" w:before="480" w:line="480" w:lineRule="auto"/>
      </w:pPr>
      <w:r>
        <w:rPr>
          <w:rFonts w:ascii="Times New Roman" w:cs="Times New Roman" w:eastAsia="Times New Roman" w:hAnsi="Times New Roman"/>
          <w:b/>
          <w:bCs/>
          <w:sz w:val="28"/>
          <w:szCs w:val="28"/>
        </w:rPr>
        <w:t xml:space="preserve">CHAPTER 5: FINDINGS AND CONCLUSION</w:t>
      </w:r>
    </w:p>
    <w:p>
      <w:pPr>
        <w:spacing w:line="480" w:lineRule="auto"/>
      </w:pPr>
      <w:r>
        <w:rPr>
          <w:rFonts w:ascii="Times New Roman" w:cs="Times New Roman" w:eastAsia="Times New Roman" w:hAnsi="Times New Roman"/>
          <w:sz w:val="24"/>
          <w:szCs w:val="24"/>
        </w:rPr>
        <w:t xml:space="preserve"/>
      </w:r>
    </w:p>
    <w:p>
      <w:pPr>
        <w:pStyle w:val="Heading2"/>
        <w:spacing w:after="200" w:before="360" w:line="480" w:lineRule="auto"/>
      </w:pPr>
      <w:r>
        <w:rPr>
          <w:rFonts w:ascii="Times New Roman" w:cs="Times New Roman" w:eastAsia="Times New Roman" w:hAnsi="Times New Roman"/>
          <w:b/>
          <w:bCs/>
          <w:sz w:val="24"/>
          <w:szCs w:val="24"/>
        </w:rPr>
        <w:t xml:space="preserve">5.1  Introduction</w:t>
      </w:r>
    </w:p>
    <w:p>
      <w:pPr>
        <w:spacing w:after="200" w:line="480" w:lineRule="auto"/>
        <w:ind w:firstLine="720"/>
        <w:jc w:val="both"/>
      </w:pPr>
      <w:r>
        <w:rPr>
          <w:rFonts w:ascii="Times New Roman" w:cs="Times New Roman" w:eastAsia="Times New Roman" w:hAnsi="Times New Roman"/>
          <w:sz w:val="24"/>
          <w:szCs w:val="24"/>
        </w:rPr>
        <w:t xml:space="preserve">This chapter consolidates the key findings emerging from the data analysis presented in Chapter 4 and draws conclusions regarding the three research objectives established in Chapter 3. The findings are organized thematically — covering business performance, product demand, retailer behaviour, operational system impact, and forecasting model outcomes — before a comprehensive conclusion synthesizes the study's contributions and implications.</w:t>
      </w:r>
    </w:p>
    <w:p>
      <w:pPr>
        <w:spacing w:line="480" w:lineRule="auto"/>
      </w:pPr>
      <w:r>
        <w:rPr>
          <w:rFonts w:ascii="Times New Roman" w:cs="Times New Roman" w:eastAsia="Times New Roman" w:hAnsi="Times New Roman"/>
          <w:sz w:val="24"/>
          <w:szCs w:val="24"/>
        </w:rPr>
        <w:t xml:space="preserve"/>
      </w:r>
    </w:p>
    <w:p>
      <w:pPr>
        <w:pStyle w:val="Heading2"/>
        <w:spacing w:after="200" w:before="360" w:line="480" w:lineRule="auto"/>
      </w:pPr>
      <w:r>
        <w:rPr>
          <w:rFonts w:ascii="Times New Roman" w:cs="Times New Roman" w:eastAsia="Times New Roman" w:hAnsi="Times New Roman"/>
          <w:b/>
          <w:bCs/>
          <w:sz w:val="24"/>
          <w:szCs w:val="24"/>
        </w:rPr>
        <w:t xml:space="preserve">5.2  Key Findings</w:t>
      </w:r>
    </w:p>
    <w:p>
      <w:pPr>
        <w:spacing w:after="120" w:line="480" w:lineRule="auto"/>
        <w:ind w:firstLine="720"/>
        <w:jc w:val="both"/>
      </w:pPr>
      <w:r>
        <w:rPr>
          <w:rFonts w:ascii="Times New Roman" w:cs="Times New Roman" w:eastAsia="Times New Roman" w:hAnsi="Times New Roman"/>
          <w:b/>
          <w:bCs/>
          <w:sz w:val="24"/>
          <w:szCs w:val="24"/>
        </w:rPr>
        <w:t xml:space="preserve">Finding 1: Consistent and Accelerating Business Growth Over the Study Period</w:t>
      </w:r>
    </w:p>
    <w:p>
      <w:pPr>
        <w:spacing w:after="200" w:line="480" w:lineRule="auto"/>
        <w:ind w:firstLine="720"/>
        <w:jc w:val="both"/>
      </w:pPr>
      <w:r>
        <w:rPr>
          <w:rFonts w:ascii="Times New Roman" w:cs="Times New Roman" w:eastAsia="Times New Roman" w:hAnsi="Times New Roman"/>
          <w:sz w:val="24"/>
          <w:szCs w:val="24"/>
        </w:rPr>
        <w:t xml:space="preserve">The distribution firm demonstrated consistent year-on-year growth across all three financial years covered by the study. Total units sold grew from 7,041 in FY 2023-24 to 7,687 in FY 2024-25, and further to 9,057 in FY 2025-26 — a cumulative growth of 28.6% over two years. More significantly, sales value grew from Rs. 40.77 lakhs in FY 2023-24 to Rs. 54.39 lakhs in FY 2025-26 — a cumulative growth of 33.4%. The year-on-year value growth of 28.3% from FY 2024-25 to FY 2025-26 significantly outpaced quantity growth of 17.8%, indicating a positive shift in product mix toward higher-MRP items. The number of invoices raised nearly doubled over the same period — from 158 in FY 2023-24 to 342 in FY 2025-26 — reflecting substantially increased billing frequency attributable in part to the improved order management discipline enabled by the digital system developed in this project.</w:t>
      </w:r>
    </w:p>
    <w:p>
      <w:pPr>
        <w:spacing w:line="480" w:lineRule="auto"/>
      </w:pPr>
      <w:r>
        <w:rPr>
          <w:rFonts w:ascii="Times New Roman" w:cs="Times New Roman" w:eastAsia="Times New Roman" w:hAnsi="Times New Roman"/>
          <w:sz w:val="24"/>
          <w:szCs w:val="24"/>
        </w:rPr>
        <w:t xml:space="preserve"/>
      </w:r>
    </w:p>
    <w:p>
      <w:pPr>
        <w:spacing w:after="120" w:line="480" w:lineRule="auto"/>
        <w:ind w:firstLine="720"/>
        <w:jc w:val="both"/>
      </w:pPr>
      <w:r>
        <w:rPr>
          <w:rFonts w:ascii="Times New Roman" w:cs="Times New Roman" w:eastAsia="Times New Roman" w:hAnsi="Times New Roman"/>
          <w:b/>
          <w:bCs/>
          <w:sz w:val="24"/>
          <w:szCs w:val="24"/>
        </w:rPr>
        <w:t xml:space="preserve">Finding 2: Extreme Demand Concentration at the Style and Retailer Level</w:t>
      </w:r>
    </w:p>
    <w:p>
      <w:pPr>
        <w:spacing w:after="200" w:line="480" w:lineRule="auto"/>
        <w:ind w:firstLine="720"/>
        <w:jc w:val="both"/>
      </w:pPr>
      <w:r>
        <w:rPr>
          <w:rFonts w:ascii="Times New Roman" w:cs="Times New Roman" w:eastAsia="Times New Roman" w:hAnsi="Times New Roman"/>
          <w:sz w:val="24"/>
          <w:szCs w:val="24"/>
        </w:rPr>
        <w:t xml:space="preserve">A Pareto concentration pattern was observed at both the product and retailer levels, with a small number of styles and accounts driving the majority of business volume. At the style level, the top two style codes — D143 and D239 — collectively accounted for 44.4% of total sales volume across the study period, while the top 10 style codes accounted for 72.0% of volume despite the active portfolio comprising 133 unique style codes. At the retailer level, the two largest accounts — RETAILER_026 and RETAILER_021 — together contributed 54.6% of total sales volume, with RETAILER_026 alone responsible for 38.1% of all units sold. The top 15 retail accounts accounted for 88.4% of total volume.</w:t>
      </w:r>
    </w:p>
    <w:p>
      <w:pPr>
        <w:spacing w:after="200" w:line="480" w:lineRule="auto"/>
        <w:ind w:firstLine="720"/>
        <w:jc w:val="both"/>
      </w:pPr>
      <w:r>
        <w:rPr>
          <w:rFonts w:ascii="Times New Roman" w:cs="Times New Roman" w:eastAsia="Times New Roman" w:hAnsi="Times New Roman"/>
          <w:sz w:val="24"/>
          <w:szCs w:val="24"/>
        </w:rPr>
        <w:t xml:space="preserve">This degree of concentration has dual implications. On one hand, it simplifies the priority for inventory management: ensuring consistent stock availability for styles D143 and D239 and maintaining service quality for RETAILER_026 and RETAILER_021 would protect the vast majority of business volume. On the other hand, the concentration represents a significant business risk — any disruption in the ordering patterns of the top two retailers, or availability issues with the top two style codes, would have an immediate and material adverse impact on the distributor's performance.</w:t>
      </w:r>
    </w:p>
    <w:p>
      <w:pPr>
        <w:spacing w:line="480" w:lineRule="auto"/>
      </w:pPr>
      <w:r>
        <w:rPr>
          <w:rFonts w:ascii="Times New Roman" w:cs="Times New Roman" w:eastAsia="Times New Roman" w:hAnsi="Times New Roman"/>
          <w:sz w:val="24"/>
          <w:szCs w:val="24"/>
        </w:rPr>
        <w:t xml:space="preserve"/>
      </w:r>
    </w:p>
    <w:p>
      <w:pPr>
        <w:spacing w:after="120" w:line="480" w:lineRule="auto"/>
        <w:ind w:firstLine="720"/>
        <w:jc w:val="both"/>
      </w:pPr>
      <w:r>
        <w:rPr>
          <w:rFonts w:ascii="Times New Roman" w:cs="Times New Roman" w:eastAsia="Times New Roman" w:hAnsi="Times New Roman"/>
          <w:b/>
          <w:bCs/>
          <w:sz w:val="24"/>
          <w:szCs w:val="24"/>
        </w:rPr>
        <w:t xml:space="preserve">Finding 3: Two Distinct Demand Drivers — Seasonal Demand and Incentive-Driven Purchasing</w:t>
      </w:r>
    </w:p>
    <w:p>
      <w:pPr>
        <w:spacing w:after="200" w:line="480" w:lineRule="auto"/>
        <w:ind w:firstLine="720"/>
        <w:jc w:val="both"/>
      </w:pPr>
      <w:r>
        <w:rPr>
          <w:rFonts w:ascii="Times New Roman" w:cs="Times New Roman" w:eastAsia="Times New Roman" w:hAnsi="Times New Roman"/>
          <w:sz w:val="24"/>
          <w:szCs w:val="24"/>
        </w:rPr>
        <w:t xml:space="preserve">The most analytically significant finding of this study is the identification of two structurally different demand drivers operating simultaneously within the distribution network. December and March are consistently the highest-volume months across all three financial years studied — December cumulating 4,264 units and March 3,332 units across the study period. However, these peaks are not primarily a reflection of end-consumer seasonal demand. Rather, they are driven by structured retailer purchase target incentive schemes operated by the parent company.</w:t>
      </w:r>
    </w:p>
    <w:p>
      <w:pPr>
        <w:spacing w:after="200" w:line="480" w:lineRule="auto"/>
        <w:ind w:firstLine="720"/>
        <w:jc w:val="both"/>
      </w:pPr>
      <w:r>
        <w:rPr>
          <w:rFonts w:ascii="Times New Roman" w:cs="Times New Roman" w:eastAsia="Times New Roman" w:hAnsi="Times New Roman"/>
          <w:sz w:val="24"/>
          <w:szCs w:val="24"/>
        </w:rPr>
        <w:t xml:space="preserve">The two largest retail accounts operate under annual purchase target agreements with quarterly sub-targets and carry-forward provisions. Retailers who fall behind on quarterly targets accelerate purchases in December (the Q3 closing month) and March (the financial year-end) to meet accumulated targets. This creates the consistently observed December and March spikes. The January demand crash that invariably follows — evidenced by actual sales of only 21 units for the top style in January 2026 — is a structural consequence of this pattern: retailers who over-purchased in December suppress orders in January while excess stock is absorbed.</w:t>
      </w:r>
    </w:p>
    <w:p>
      <w:pPr>
        <w:spacing w:after="200" w:line="480" w:lineRule="auto"/>
        <w:ind w:firstLine="720"/>
        <w:jc w:val="both"/>
      </w:pPr>
      <w:r>
        <w:rPr>
          <w:rFonts w:ascii="Times New Roman" w:cs="Times New Roman" w:eastAsia="Times New Roman" w:hAnsi="Times New Roman"/>
          <w:sz w:val="24"/>
          <w:szCs w:val="24"/>
        </w:rPr>
        <w:t xml:space="preserve">The May and July peaks, by contrast, are not aligned with quarter-end months and represent genuine seasonal demand — driven by summer fashion cycles, new season arrivals, and genuine consumer purchasing. This distinction between incentive-driven and season-driven demand is a key contribution of this study and has direct implications for inventory planning: the December and March peaks must be anticipated not on the basis of consumer demand signals but on knowledge of the retailer's current target position relative to annual commitments.</w:t>
      </w:r>
    </w:p>
    <w:p>
      <w:pPr>
        <w:spacing w:line="480" w:lineRule="auto"/>
      </w:pPr>
      <w:r>
        <w:rPr>
          <w:rFonts w:ascii="Times New Roman" w:cs="Times New Roman" w:eastAsia="Times New Roman" w:hAnsi="Times New Roman"/>
          <w:sz w:val="24"/>
          <w:szCs w:val="24"/>
        </w:rPr>
        <w:t xml:space="preserve"/>
      </w:r>
    </w:p>
    <w:p>
      <w:pPr>
        <w:spacing w:after="120" w:line="480" w:lineRule="auto"/>
        <w:ind w:firstLine="720"/>
        <w:jc w:val="both"/>
      </w:pPr>
      <w:r>
        <w:rPr>
          <w:rFonts w:ascii="Times New Roman" w:cs="Times New Roman" w:eastAsia="Times New Roman" w:hAnsi="Times New Roman"/>
          <w:b/>
          <w:bCs/>
          <w:sz w:val="24"/>
          <w:szCs w:val="24"/>
        </w:rPr>
        <w:t xml:space="preserve">Finding 4: CORE Category Dominates Volume but FASHION Delivers Superior Value per Unit</w:t>
      </w:r>
    </w:p>
    <w:p>
      <w:pPr>
        <w:spacing w:after="200" w:line="480" w:lineRule="auto"/>
        <w:ind w:firstLine="720"/>
        <w:jc w:val="both"/>
      </w:pPr>
      <w:r>
        <w:rPr>
          <w:rFonts w:ascii="Times New Roman" w:cs="Times New Roman" w:eastAsia="Times New Roman" w:hAnsi="Times New Roman"/>
          <w:sz w:val="24"/>
          <w:szCs w:val="24"/>
        </w:rPr>
        <w:t xml:space="preserve">Analysis of sales by product category revealed that the CORE range accounts for 70.7% of sales volume and 66.9% of sales value. The FASHION category, however, contributes a disproportionately high value share of 17.1% against a volume share of only 10.0%. This indicates that FASHION category products carry MRPs approximately 70% higher than CORE products on a per-unit basis, making them a high-value segment despite their modest volume contribution. The NCP-P010 packaged product category contributes 8.1% of volume driven by periodic bulk purchases. The SS26 seasonal collection, launched during the study period, already contributes 2.5% of volume despite having only partial-year coverage — suggesting strong early adoption of the new season range.</w:t>
      </w:r>
    </w:p>
    <w:p>
      <w:pPr>
        <w:spacing w:line="480" w:lineRule="auto"/>
      </w:pPr>
      <w:r>
        <w:rPr>
          <w:rFonts w:ascii="Times New Roman" w:cs="Times New Roman" w:eastAsia="Times New Roman" w:hAnsi="Times New Roman"/>
          <w:sz w:val="24"/>
          <w:szCs w:val="24"/>
        </w:rPr>
        <w:t xml:space="preserve"/>
      </w:r>
    </w:p>
    <w:p>
      <w:pPr>
        <w:spacing w:after="120" w:line="480" w:lineRule="auto"/>
        <w:ind w:firstLine="720"/>
        <w:jc w:val="both"/>
      </w:pPr>
      <w:r>
        <w:rPr>
          <w:rFonts w:ascii="Times New Roman" w:cs="Times New Roman" w:eastAsia="Times New Roman" w:hAnsi="Times New Roman"/>
          <w:b/>
          <w:bCs/>
          <w:sz w:val="24"/>
          <w:szCs w:val="24"/>
        </w:rPr>
        <w:t xml:space="preserve">Finding 5: The Digital Order Management System Demonstrably Improved Operational Efficiency</w:t>
      </w:r>
    </w:p>
    <w:p>
      <w:pPr>
        <w:spacing w:after="200" w:line="480" w:lineRule="auto"/>
        <w:ind w:firstLine="720"/>
        <w:jc w:val="both"/>
      </w:pPr>
      <w:r>
        <w:rPr>
          <w:rFonts w:ascii="Times New Roman" w:cs="Times New Roman" w:eastAsia="Times New Roman" w:hAnsi="Times New Roman"/>
          <w:sz w:val="24"/>
          <w:szCs w:val="24"/>
        </w:rPr>
        <w:t xml:space="preserve">The introduction of Version 2 of the distribution management system — featuring real-time stock visibility, role-based order entry, and automated one-click purchase order placement — produced measurable improvements in order management efficiency. The near-doubling of invoice count (158 to 342) between FY 2023-24 and FY 2025-26 reflects both business growth and improved billing discipline. The elimination of manual diary-based order recording and WhatsApp relay reduced transcription errors and order consolidation time. The automated stock visibility feature, powered by the web scraping module that generated 132 usable daily stock snapshots, provided sales executives with current inventory data at the point of order collection — a capability entirely absent prior to the system's development.</w:t>
      </w:r>
    </w:p>
    <w:p>
      <w:pPr>
        <w:spacing w:after="200" w:line="480" w:lineRule="auto"/>
        <w:ind w:firstLine="720"/>
        <w:jc w:val="both"/>
      </w:pPr>
      <w:r>
        <w:rPr>
          <w:rFonts w:ascii="Times New Roman" w:cs="Times New Roman" w:eastAsia="Times New Roman" w:hAnsi="Times New Roman"/>
          <w:sz w:val="24"/>
          <w:szCs w:val="24"/>
        </w:rPr>
        <w:t xml:space="preserve">Additionally, the system's structured data storage has created, for the first time in the firm's history, a queryable record of order transactions. The 2,558 app order line items recorded from November 2025 onwards represent the beginning of a structured data asset that will continue to grow in analytical value with continued system use. This data foundation is the enabler for the demand forecasting model developed in this study and for all future analytical work.</w:t>
      </w:r>
    </w:p>
    <w:p>
      <w:pPr>
        <w:spacing w:line="480" w:lineRule="auto"/>
      </w:pPr>
      <w:r>
        <w:rPr>
          <w:rFonts w:ascii="Times New Roman" w:cs="Times New Roman" w:eastAsia="Times New Roman" w:hAnsi="Times New Roman"/>
          <w:sz w:val="24"/>
          <w:szCs w:val="24"/>
        </w:rPr>
        <w:t xml:space="preserve"/>
      </w:r>
    </w:p>
    <w:p>
      <w:pPr>
        <w:spacing w:after="120" w:line="480" w:lineRule="auto"/>
        <w:ind w:firstLine="720"/>
        <w:jc w:val="both"/>
      </w:pPr>
      <w:r>
        <w:rPr>
          <w:rFonts w:ascii="Times New Roman" w:cs="Times New Roman" w:eastAsia="Times New Roman" w:hAnsi="Times New Roman"/>
          <w:b/>
          <w:bCs/>
          <w:sz w:val="24"/>
          <w:szCs w:val="24"/>
        </w:rPr>
        <w:t xml:space="preserve">Finding 6: Overall Sell-Through Rate is Healthy but Monthly Mismatches Create Stockout Risk</w:t>
      </w:r>
    </w:p>
    <w:p>
      <w:pPr>
        <w:spacing w:after="200" w:line="480" w:lineRule="auto"/>
        <w:ind w:firstLine="720"/>
        <w:jc w:val="both"/>
      </w:pPr>
      <w:r>
        <w:rPr>
          <w:rFonts w:ascii="Times New Roman" w:cs="Times New Roman" w:eastAsia="Times New Roman" w:hAnsi="Times New Roman"/>
          <w:sz w:val="24"/>
          <w:szCs w:val="24"/>
        </w:rPr>
        <w:t xml:space="preserve">The overall sell-through rate — units sold as a proportion of units purchased over the study period — was 84.9%, indicating a broadly balanced inventory position. However, the month-by-month analysis reveals significant mismatches between procurement and sales that aggregate into this balanced overall figure. Of the 29 months analyzed, 14 were broadly balanced (purchase and sales within 100 units of each other), 11 experienced overstock conditions (purchase exceeding sales by more than 100 units), and 4 experienced understock conditions (sales exceeding purchase by more than 100 units).</w:t>
      </w:r>
    </w:p>
    <w:p>
      <w:pPr>
        <w:spacing w:after="200" w:line="480" w:lineRule="auto"/>
        <w:ind w:firstLine="720"/>
        <w:jc w:val="both"/>
      </w:pPr>
      <w:r>
        <w:rPr>
          <w:rFonts w:ascii="Times New Roman" w:cs="Times New Roman" w:eastAsia="Times New Roman" w:hAnsi="Times New Roman"/>
          <w:sz w:val="24"/>
          <w:szCs w:val="24"/>
        </w:rPr>
        <w:t xml:space="preserve">The most severe understock event occurred in August 2025, when sales exceeded purchases by 439 units — equivalent to approximately 2.3 months of average demand. Stock snapshot data confirms that the top style (D143) recorded near-zero warehouse stock during this period, confirming that at least a portion of potential August sales were lost due to stockout. The August 2025 stockout was a downstream consequence of the July 2025 sales spike (the period's single highest month at 1,595 units), which depleted stock faster than the procurement cycle could replenish it. This finding directly validates the business case for the demand forecasting system developed in this project.</w:t>
      </w:r>
    </w:p>
    <w:p>
      <w:pPr>
        <w:spacing w:line="480" w:lineRule="auto"/>
      </w:pPr>
      <w:r>
        <w:rPr>
          <w:rFonts w:ascii="Times New Roman" w:cs="Times New Roman" w:eastAsia="Times New Roman" w:hAnsi="Times New Roman"/>
          <w:sz w:val="24"/>
          <w:szCs w:val="24"/>
        </w:rPr>
        <w:t xml:space="preserve"/>
      </w:r>
    </w:p>
    <w:p>
      <w:pPr>
        <w:spacing w:after="120" w:line="480" w:lineRule="auto"/>
        <w:ind w:firstLine="720"/>
        <w:jc w:val="both"/>
      </w:pPr>
      <w:r>
        <w:rPr>
          <w:rFonts w:ascii="Times New Roman" w:cs="Times New Roman" w:eastAsia="Times New Roman" w:hAnsi="Times New Roman"/>
          <w:b/>
          <w:bCs/>
          <w:sz w:val="24"/>
          <w:szCs w:val="24"/>
        </w:rPr>
        <w:t xml:space="preserve">Finding 7: Mid-Range Cup Sizes and Standard Sizes M and L Drive the Majority of Demand</w:t>
      </w:r>
    </w:p>
    <w:p>
      <w:pPr>
        <w:spacing w:after="200" w:line="480" w:lineRule="auto"/>
        <w:ind w:firstLine="720"/>
        <w:jc w:val="both"/>
      </w:pPr>
      <w:r>
        <w:rPr>
          <w:rFonts w:ascii="Times New Roman" w:cs="Times New Roman" w:eastAsia="Times New Roman" w:hAnsi="Times New Roman"/>
          <w:sz w:val="24"/>
          <w:szCs w:val="24"/>
        </w:rPr>
        <w:t xml:space="preserve">Size-level analysis reveals that cup sizes (32B to 42D and above) account for 65.8% of total sales volume, confirming the predominantly structured innerwear character of the distribution business. Within the cup size range, the 36C, 36B, 34B, and 38C variants represent the highest-demand combinations, collectively accounting for a significant share of innerwear volume. Within standard sizes, M and L are the dominant sizes. This size profile provides a clear guide for inventory prioritization: maintaining consistent stock availability in the 34B-38C cup size range and M-L standard sizes would protect the majority of demand-fill opportunities.</w:t>
      </w:r>
    </w:p>
    <w:p>
      <w:pPr>
        <w:spacing w:line="480" w:lineRule="auto"/>
      </w:pPr>
      <w:r>
        <w:rPr>
          <w:rFonts w:ascii="Times New Roman" w:cs="Times New Roman" w:eastAsia="Times New Roman" w:hAnsi="Times New Roman"/>
          <w:sz w:val="24"/>
          <w:szCs w:val="24"/>
        </w:rPr>
        <w:t xml:space="preserve"/>
      </w:r>
    </w:p>
    <w:p>
      <w:pPr>
        <w:spacing w:after="120" w:line="480" w:lineRule="auto"/>
        <w:ind w:firstLine="720"/>
        <w:jc w:val="both"/>
      </w:pPr>
      <w:r>
        <w:rPr>
          <w:rFonts w:ascii="Times New Roman" w:cs="Times New Roman" w:eastAsia="Times New Roman" w:hAnsi="Times New Roman"/>
          <w:b/>
          <w:bCs/>
          <w:sz w:val="24"/>
          <w:szCs w:val="24"/>
        </w:rPr>
        <w:t xml:space="preserve">Finding 8: The Linear Regression Forecasting Model Outperforms Moving Average</w:t>
      </w:r>
    </w:p>
    <w:p>
      <w:pPr>
        <w:spacing w:after="200" w:line="480" w:lineRule="auto"/>
        <w:ind w:firstLine="720"/>
        <w:jc w:val="both"/>
      </w:pPr>
      <w:r>
        <w:rPr>
          <w:rFonts w:ascii="Times New Roman" w:cs="Times New Roman" w:eastAsia="Times New Roman" w:hAnsi="Times New Roman"/>
          <w:sz w:val="24"/>
          <w:szCs w:val="24"/>
        </w:rPr>
        <w:t xml:space="preserve">At both the SKU level and the style level, the Linear Regression model incorporating seasonal features (sine and cosine transformations of month-of-year) produced lower Mean Absolute Error (MAE) and Root Mean Squared Error (RMSE) values than the three-month Moving Average model. At the SKU level, the Linear Regression MAE of 2.75 units per month represents fewer than 3 units of error on a product that sells between 1 and 9 units per month — a practically meaningful level of accuracy for purchase planning purposes. At the style level, the Linear Regression correctly directional forecast for February and March 2026 (actual 209, predicted 193; actual 294, predicted 210) demonstrates the model's capability during normal, non-incentive-driven demand periods.</w:t>
      </w:r>
    </w:p>
    <w:p>
      <w:pPr>
        <w:spacing w:after="200" w:line="480" w:lineRule="auto"/>
        <w:ind w:firstLine="720"/>
        <w:jc w:val="both"/>
      </w:pPr>
      <w:r>
        <w:rPr>
          <w:rFonts w:ascii="Times New Roman" w:cs="Times New Roman" w:eastAsia="Times New Roman" w:hAnsi="Times New Roman"/>
          <w:sz w:val="24"/>
          <w:szCs w:val="24"/>
        </w:rPr>
        <w:t xml:space="preserve">The high MAPE values observed at both levels — 125% at SKU level and 212.7% at style level — are attributable to the incentive-driven demand spikes described in Finding 3, which create extreme outlier months that disproportionately inflate percentage error metrics. These high MAPE values should not be interpreted as model failure; rather, they reflect the structural unpredictability of incentive-driven bulk purchasing using time series methods alone.</w:t>
      </w:r>
    </w:p>
    <w:p>
      <w:pPr>
        <w:spacing w:line="480" w:lineRule="auto"/>
      </w:pPr>
      <w:r>
        <w:rPr>
          <w:rFonts w:ascii="Times New Roman" w:cs="Times New Roman" w:eastAsia="Times New Roman" w:hAnsi="Times New Roman"/>
          <w:sz w:val="24"/>
          <w:szCs w:val="24"/>
        </w:rPr>
        <w:t xml:space="preserve"/>
      </w:r>
    </w:p>
    <w:p>
      <w:pPr>
        <w:pStyle w:val="Heading2"/>
        <w:spacing w:after="200" w:before="360" w:line="480" w:lineRule="auto"/>
      </w:pPr>
      <w:r>
        <w:rPr>
          <w:rFonts w:ascii="Times New Roman" w:cs="Times New Roman" w:eastAsia="Times New Roman" w:hAnsi="Times New Roman"/>
          <w:b/>
          <w:bCs/>
          <w:sz w:val="24"/>
          <w:szCs w:val="24"/>
        </w:rPr>
        <w:t xml:space="preserve">5.3  Conclusion</w:t>
      </w:r>
    </w:p>
    <w:p>
      <w:pPr>
        <w:spacing w:after="200" w:line="480" w:lineRule="auto"/>
        <w:ind w:firstLine="720"/>
        <w:jc w:val="both"/>
      </w:pPr>
      <w:r>
        <w:rPr>
          <w:rFonts w:ascii="Times New Roman" w:cs="Times New Roman" w:eastAsia="Times New Roman" w:hAnsi="Times New Roman"/>
          <w:sz w:val="24"/>
          <w:szCs w:val="24"/>
        </w:rPr>
        <w:t xml:space="preserve">This study set out to address three research objectives: the development and evaluation of a digital order management system for a regional FMCG distributor, the exploratory analysis of SKU-level demand patterns using multi-source operational data, and the development and validation of a Python-based demand forecasting model. Each objective has been substantially achieved.</w:t>
      </w:r>
    </w:p>
    <w:p>
      <w:pPr>
        <w:spacing w:after="200" w:line="480" w:lineRule="auto"/>
        <w:ind w:firstLine="720"/>
        <w:jc w:val="both"/>
      </w:pPr>
      <w:r>
        <w:rPr>
          <w:rFonts w:ascii="Times New Roman" w:cs="Times New Roman" w:eastAsia="Times New Roman" w:hAnsi="Times New Roman"/>
          <w:sz w:val="24"/>
          <w:szCs w:val="24"/>
        </w:rPr>
        <w:t xml:space="preserve">With respect to the first objective, the distribution management system developed in this project — spanning two versions over approximately two years — has successfully eliminated the manual diary-and-WhatsApp order collection process, introduced real-time stock visibility through automated web scraping, and automated the purchase order placement workflow through template-matched one-click email dispatch. The system is operational, actively used, and has generated a structured data asset that enables all further analytical work in this study.</w:t>
      </w:r>
    </w:p>
    <w:p>
      <w:pPr>
        <w:spacing w:after="200" w:line="480" w:lineRule="auto"/>
        <w:ind w:firstLine="720"/>
        <w:jc w:val="both"/>
      </w:pPr>
      <w:r>
        <w:rPr>
          <w:rFonts w:ascii="Times New Roman" w:cs="Times New Roman" w:eastAsia="Times New Roman" w:hAnsi="Times New Roman"/>
          <w:sz w:val="24"/>
          <w:szCs w:val="24"/>
        </w:rPr>
        <w:t xml:space="preserve">With respect to the second objective, the exploratory data analysis reveals a distribution business characterized by strong and growing sales performance, highly concentrated demand at both the style and retailer levels, and a dual demand structure in which incentive-driven bulk purchasing by key retail accounts creates recurring seasonal patterns that overlay genuine consumer demand cycles. The identification and characterization of the incentive-driven demand pattern represents the most original analytical contribution of this study, as it requires integration of quantitative data analysis with direct operational knowledge of the business context — an integration that is only possible through the kind of embedded, action-research approach adopted in this project.</w:t>
      </w:r>
    </w:p>
    <w:p>
      <w:pPr>
        <w:spacing w:after="200" w:line="480" w:lineRule="auto"/>
        <w:ind w:firstLine="720"/>
        <w:jc w:val="both"/>
      </w:pPr>
      <w:r>
        <w:rPr>
          <w:rFonts w:ascii="Times New Roman" w:cs="Times New Roman" w:eastAsia="Times New Roman" w:hAnsi="Times New Roman"/>
          <w:sz w:val="24"/>
          <w:szCs w:val="24"/>
        </w:rPr>
        <w:t xml:space="preserve">With respect to the third objective, the demand forecasting model demonstrates that Python-based Linear Regression with seasonal features is capable of generating directionally useful monthly demand estimates for high-velocity style codes. The model's three-month forward forecast for style D143 — projecting 200-235 units per month for April to June 2026 — provides the distributor with a quantitative basis for purchase planning that was entirely absent prior to this project. The model's limitations during incentive-driven peak periods are clearly documented and provide a roadmap for future model enhancement through the incorporation of retailer target data.</w:t>
      </w:r>
    </w:p>
    <w:p>
      <w:pPr>
        <w:spacing w:after="200" w:line="480" w:lineRule="auto"/>
        <w:ind w:firstLine="720"/>
        <w:jc w:val="both"/>
      </w:pPr>
      <w:r>
        <w:rPr>
          <w:rFonts w:ascii="Times New Roman" w:cs="Times New Roman" w:eastAsia="Times New Roman" w:hAnsi="Times New Roman"/>
          <w:sz w:val="24"/>
          <w:szCs w:val="24"/>
        </w:rPr>
        <w:t xml:space="preserve">In conclusion, this project demonstrates that a lightweight, custom-built digital order management system combined with Python-based data analytics and demand forecasting can meaningfully transform the operational intelligence of a small regional FMCG distributor — without the cost, complexity, or implementation burden of enterprise software. The system and analytical framework developed in this study are not only functionally operational but also scalable: as the structured data asset grows with continued system use, the forecasting model's accuracy will improve, and additional analytical capabilities — including retailer-level demand forecasting and automated reorder alerts — can be progressively added. The distributor has transitioned, through this project, from a purely experience-driven operating model to one with a functioning data infrastructure and the analytical tools to use it.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spacing w:after="240" w:before="480" w:line="480" w:lineRule="auto"/>
      <w:outlineLvl w:val="0"/>
    </w:pPr>
    <w:rPr>
      <w:rFonts w:ascii="Times New Roman" w:cs="Times New Roman" w:eastAsia="Times New Roman" w:hAnsi="Times New Roman"/>
      <w:b/>
      <w:bCs/>
      <w:color w:val="000000"/>
      <w:sz w:val="28"/>
      <w:szCs w:val="28"/>
    </w:rPr>
  </w:style>
  <w:style w:type="paragraph" w:styleId="Heading2">
    <w:name w:val="Heading 2"/>
    <w:basedOn w:val="Normal"/>
    <w:next w:val="Normal"/>
    <w:pPr>
      <w:spacing w:after="200" w:before="360" w:line="480" w:lineRule="auto"/>
      <w:outlineLvl w:val="1"/>
    </w:pPr>
    <w:rPr>
      <w:rFonts w:ascii="Times New Roman" w:cs="Times New Roman" w:eastAsia="Times New Roman" w:hAnsi="Times New Roman"/>
      <w:b/>
      <w:bCs/>
      <w:color w:val="00000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2026-05-16T17:24:43.012Z</dcterms:created>
  <dcterms:modified xsi:type="dcterms:W3CDTF">2026-05-16T17:24:43.025Z</dcterms:modified>
</cp:coreProperties>
</file>

<file path=docProps/custom.xml><?xml version="1.0" encoding="utf-8"?>
<Properties xmlns="http://schemas.openxmlformats.org/officeDocument/2006/custom-properties" xmlns:vt="http://schemas.openxmlformats.org/officeDocument/2006/docPropsVTypes"/>
</file>