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rPr>
          <w:sz w:val="24"/>
          <w:szCs w:val="24"/>
        </w:rPr>
      </w:pPr>
      <w:r>
        <w:rPr>
          <w:sz w:val="24"/>
          <w:szCs w:val="24"/>
        </w:rPr>
      </w:r>
    </w:p>
    <w:p>
      <w:pPr>
        <w:pStyle w:val="Normal"/>
        <w:spacing w:lineRule="auto" w:line="480" w:before="0" w:after="160"/>
        <w:jc w:val="center"/>
        <w:rPr>
          <w:sz w:val="24"/>
          <w:szCs w:val="24"/>
        </w:rPr>
      </w:pPr>
      <w:r>
        <w:rPr>
          <w:b/>
          <w:bCs/>
          <w:sz w:val="24"/>
          <w:szCs w:val="24"/>
        </w:rPr>
        <w:t>AMITY UNIVERSITY ONLINE, NOIDA, UTTAR PRADESH</w:t>
      </w:r>
    </w:p>
    <w:p>
      <w:pPr>
        <w:pStyle w:val="Normal"/>
        <w:spacing w:lineRule="auto" w:line="480"/>
        <w:rPr>
          <w:sz w:val="24"/>
          <w:szCs w:val="24"/>
        </w:rPr>
      </w:pPr>
      <w:r>
        <w:rPr>
          <w:sz w:val="24"/>
          <w:szCs w:val="24"/>
        </w:rPr>
      </w:r>
    </w:p>
    <w:p>
      <w:pPr>
        <w:pStyle w:val="Normal"/>
        <w:spacing w:lineRule="auto" w:line="480" w:before="0" w:after="160"/>
        <w:jc w:val="center"/>
        <w:rPr>
          <w:sz w:val="24"/>
          <w:szCs w:val="24"/>
        </w:rPr>
      </w:pPr>
      <w:r>
        <w:rPr>
          <w:sz w:val="24"/>
          <w:szCs w:val="24"/>
        </w:rPr>
        <w:t>In partial fulfilment of the requirement for the award of degree of</w:t>
      </w:r>
    </w:p>
    <w:p>
      <w:pPr>
        <w:pStyle w:val="Normal"/>
        <w:spacing w:lineRule="auto" w:line="480" w:before="0" w:after="160"/>
        <w:jc w:val="center"/>
        <w:rPr>
          <w:sz w:val="24"/>
          <w:szCs w:val="24"/>
        </w:rPr>
      </w:pPr>
      <w:r>
        <w:rPr>
          <w:b/>
          <w:bCs/>
          <w:sz w:val="24"/>
          <w:szCs w:val="24"/>
        </w:rPr>
        <w:t>Bachelor of Computer Application (Major: Data Analytics)</w:t>
      </w:r>
    </w:p>
    <w:p>
      <w:pPr>
        <w:pStyle w:val="Normal"/>
        <w:spacing w:lineRule="auto" w:line="480"/>
        <w:rPr>
          <w:sz w:val="24"/>
          <w:szCs w:val="24"/>
        </w:rPr>
      </w:pPr>
      <w:r>
        <w:rPr>
          <w:sz w:val="24"/>
          <w:szCs w:val="24"/>
        </w:rPr>
      </w:r>
    </w:p>
    <w:p>
      <w:pPr>
        <w:pStyle w:val="Normal"/>
        <w:spacing w:lineRule="auto" w:line="480" w:before="0" w:after="160"/>
        <w:jc w:val="center"/>
        <w:rPr>
          <w:sz w:val="24"/>
          <w:szCs w:val="24"/>
        </w:rPr>
      </w:pPr>
      <w:r>
        <w:rPr>
          <w:b/>
          <w:bCs/>
          <w:sz w:val="24"/>
          <w:szCs w:val="24"/>
        </w:rPr>
        <w:t>PROJECT REPORT</w:t>
      </w:r>
    </w:p>
    <w:p>
      <w:pPr>
        <w:pStyle w:val="Normal"/>
        <w:spacing w:lineRule="auto" w:line="480"/>
        <w:rPr>
          <w:sz w:val="24"/>
          <w:szCs w:val="24"/>
        </w:rPr>
      </w:pPr>
      <w:r>
        <w:rPr>
          <w:sz w:val="24"/>
          <w:szCs w:val="24"/>
        </w:rPr>
      </w:r>
    </w:p>
    <w:p>
      <w:pPr>
        <w:pStyle w:val="Normal"/>
        <w:spacing w:lineRule="auto" w:line="480" w:before="0" w:after="160"/>
        <w:jc w:val="center"/>
        <w:rPr>
          <w:sz w:val="24"/>
          <w:szCs w:val="24"/>
        </w:rPr>
      </w:pPr>
      <w:r>
        <w:rPr>
          <w:b/>
          <w:bCs/>
          <w:sz w:val="24"/>
          <w:szCs w:val="24"/>
        </w:rPr>
        <w:t>TITLE:</w:t>
      </w:r>
    </w:p>
    <w:p>
      <w:pPr>
        <w:pStyle w:val="Normal"/>
        <w:spacing w:lineRule="auto" w:line="480" w:before="0" w:after="160"/>
        <w:jc w:val="center"/>
        <w:rPr>
          <w:sz w:val="24"/>
          <w:szCs w:val="24"/>
        </w:rPr>
      </w:pPr>
      <w:r>
        <w:rPr>
          <w:b/>
          <w:bCs/>
          <w:sz w:val="24"/>
          <w:szCs w:val="24"/>
        </w:rPr>
        <w:t>AI-Driven Order Management and Demand Forecasting System</w:t>
      </w:r>
    </w:p>
    <w:p>
      <w:pPr>
        <w:pStyle w:val="Normal"/>
        <w:spacing w:lineRule="auto" w:line="480" w:before="0" w:after="160"/>
        <w:jc w:val="center"/>
        <w:rPr>
          <w:sz w:val="24"/>
          <w:szCs w:val="24"/>
        </w:rPr>
      </w:pPr>
      <w:r>
        <w:rPr>
          <w:b/>
          <w:bCs/>
          <w:sz w:val="24"/>
          <w:szCs w:val="24"/>
        </w:rPr>
        <w:t>for FMCG Distribution</w:t>
      </w:r>
    </w:p>
    <w:p>
      <w:pPr>
        <w:pStyle w:val="Normal"/>
        <w:spacing w:lineRule="auto" w:line="480"/>
        <w:rPr>
          <w:sz w:val="24"/>
          <w:szCs w:val="24"/>
        </w:rPr>
      </w:pPr>
      <w:r>
        <w:rPr>
          <w:sz w:val="24"/>
          <w:szCs w:val="24"/>
        </w:rPr>
      </w:r>
    </w:p>
    <w:tbl>
      <w:tblPr>
        <w:tblW w:w="9360" w:type="dxa"/>
        <w:jc w:val="start"/>
        <w:tblInd w:w="0" w:type="dxa"/>
        <w:tblLayout w:type="fixed"/>
        <w:tblCellMar>
          <w:top w:w="80" w:type="dxa"/>
          <w:start w:w="120" w:type="dxa"/>
          <w:bottom w:w="80" w:type="dxa"/>
          <w:end w:w="120" w:type="dxa"/>
        </w:tblCellMar>
        <w:tblLook w:noHBand="0" w:lastColumn="0" w:firstColumn="0" w:lastRow="0" w:firstRow="0" w:noVBand="0" w:val="0000"/>
      </w:tblPr>
      <w:tblGrid>
        <w:gridCol w:w="3598"/>
        <w:gridCol w:w="5762"/>
      </w:tblGrid>
      <w:tr>
        <w:trPr/>
        <w:tc>
          <w:tcPr>
            <w:tcW w:w="3598"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sz w:val="24"/>
                <w:szCs w:val="24"/>
              </w:rPr>
            </w:pPr>
            <w:r>
              <w:rPr>
                <w:b/>
                <w:bCs/>
                <w:sz w:val="24"/>
                <w:szCs w:val="24"/>
              </w:rPr>
              <w:t>Guide Name</w:t>
            </w:r>
          </w:p>
        </w:tc>
        <w:tc>
          <w:tcPr>
            <w:tcW w:w="576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sz w:val="24"/>
                <w:szCs w:val="24"/>
              </w:rPr>
            </w:pPr>
            <w:r>
              <w:rPr>
                <w:sz w:val="24"/>
                <w:szCs w:val="24"/>
              </w:rPr>
              <w:t>MUKESH KUMAR PARMAR</w:t>
            </w:r>
          </w:p>
        </w:tc>
      </w:tr>
      <w:tr>
        <w:trPr/>
        <w:tc>
          <w:tcPr>
            <w:tcW w:w="3598" w:type="dxa"/>
            <w:tcBorders>
              <w:top w:val="single" w:sz="2" w:space="0" w:color="CCCCCC"/>
              <w:start w:val="single" w:sz="2" w:space="0" w:color="CCCCCC"/>
              <w:bottom w:val="single" w:sz="2" w:space="0" w:color="CCCCCC"/>
              <w:end w:val="single" w:sz="2" w:space="0" w:color="CCCCCC"/>
            </w:tcBorders>
            <w:shd w:color="auto" w:fill="EFF4FF" w:val="clear"/>
          </w:tcPr>
          <w:p>
            <w:pPr>
              <w:pStyle w:val="Normal"/>
              <w:rPr>
                <w:sz w:val="24"/>
                <w:szCs w:val="24"/>
              </w:rPr>
            </w:pPr>
            <w:r>
              <w:rPr>
                <w:b/>
                <w:bCs/>
                <w:sz w:val="24"/>
                <w:szCs w:val="24"/>
              </w:rPr>
              <w:t>Designation</w:t>
            </w:r>
          </w:p>
        </w:tc>
        <w:tc>
          <w:tcPr>
            <w:tcW w:w="5762" w:type="dxa"/>
            <w:tcBorders>
              <w:top w:val="single" w:sz="2" w:space="0" w:color="CCCCCC"/>
              <w:start w:val="single" w:sz="2" w:space="0" w:color="CCCCCC"/>
              <w:bottom w:val="single" w:sz="2" w:space="0" w:color="CCCCCC"/>
              <w:end w:val="single" w:sz="2" w:space="0" w:color="CCCCCC"/>
            </w:tcBorders>
            <w:shd w:color="auto" w:fill="EFF4FF" w:val="clear"/>
          </w:tcPr>
          <w:p>
            <w:pPr>
              <w:pStyle w:val="Normal"/>
              <w:rPr>
                <w:sz w:val="24"/>
                <w:szCs w:val="24"/>
              </w:rPr>
            </w:pPr>
            <w:r>
              <w:rPr>
                <w:sz w:val="24"/>
                <w:szCs w:val="24"/>
              </w:rPr>
              <w:t>CHARTERED ACCOUNTANT</w:t>
            </w:r>
          </w:p>
        </w:tc>
      </w:tr>
      <w:tr>
        <w:trPr/>
        <w:tc>
          <w:tcPr>
            <w:tcW w:w="3598"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sz w:val="24"/>
                <w:szCs w:val="24"/>
              </w:rPr>
            </w:pPr>
            <w:r>
              <w:rPr>
                <w:b/>
                <w:bCs/>
                <w:sz w:val="24"/>
                <w:szCs w:val="24"/>
              </w:rPr>
              <w:t>Institution</w:t>
            </w:r>
          </w:p>
        </w:tc>
        <w:tc>
          <w:tcPr>
            <w:tcW w:w="576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sz w:val="24"/>
                <w:szCs w:val="24"/>
              </w:rPr>
            </w:pPr>
            <w:r>
              <w:rPr>
                <w:sz w:val="24"/>
                <w:szCs w:val="24"/>
              </w:rPr>
              <w:t>INSTITUTE OF CHARTER ACCOUNTANT INDIA</w:t>
            </w:r>
          </w:p>
        </w:tc>
      </w:tr>
      <w:tr>
        <w:trPr/>
        <w:tc>
          <w:tcPr>
            <w:tcW w:w="3598" w:type="dxa"/>
            <w:tcBorders>
              <w:top w:val="single" w:sz="2" w:space="0" w:color="CCCCCC"/>
              <w:start w:val="single" w:sz="2" w:space="0" w:color="CCCCCC"/>
              <w:bottom w:val="single" w:sz="2" w:space="0" w:color="CCCCCC"/>
              <w:end w:val="single" w:sz="2" w:space="0" w:color="CCCCCC"/>
            </w:tcBorders>
            <w:shd w:color="auto" w:fill="EFF4FF" w:val="clear"/>
          </w:tcPr>
          <w:p>
            <w:pPr>
              <w:pStyle w:val="Normal"/>
              <w:rPr>
                <w:sz w:val="24"/>
                <w:szCs w:val="24"/>
              </w:rPr>
            </w:pPr>
            <w:r>
              <w:rPr>
                <w:b/>
                <w:bCs/>
                <w:sz w:val="24"/>
                <w:szCs w:val="24"/>
              </w:rPr>
              <w:t>Student Name</w:t>
            </w:r>
          </w:p>
        </w:tc>
        <w:tc>
          <w:tcPr>
            <w:tcW w:w="5762" w:type="dxa"/>
            <w:tcBorders>
              <w:top w:val="single" w:sz="2" w:space="0" w:color="CCCCCC"/>
              <w:start w:val="single" w:sz="2" w:space="0" w:color="CCCCCC"/>
              <w:bottom w:val="single" w:sz="2" w:space="0" w:color="CCCCCC"/>
              <w:end w:val="single" w:sz="2" w:space="0" w:color="CCCCCC"/>
            </w:tcBorders>
            <w:shd w:color="auto" w:fill="EFF4FF" w:val="clear"/>
          </w:tcPr>
          <w:p>
            <w:pPr>
              <w:pStyle w:val="Normal"/>
              <w:rPr>
                <w:sz w:val="24"/>
                <w:szCs w:val="24"/>
              </w:rPr>
            </w:pPr>
            <w:r>
              <w:rPr>
                <w:sz w:val="24"/>
                <w:szCs w:val="24"/>
              </w:rPr>
              <w:t>Hemant Parasmal Borana</w:t>
            </w:r>
          </w:p>
        </w:tc>
      </w:tr>
      <w:tr>
        <w:trPr/>
        <w:tc>
          <w:tcPr>
            <w:tcW w:w="3598"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sz w:val="24"/>
                <w:szCs w:val="24"/>
              </w:rPr>
            </w:pPr>
            <w:r>
              <w:rPr>
                <w:b/>
                <w:bCs/>
                <w:sz w:val="24"/>
                <w:szCs w:val="24"/>
              </w:rPr>
              <w:t>Enrolment No.</w:t>
            </w:r>
          </w:p>
        </w:tc>
        <w:tc>
          <w:tcPr>
            <w:tcW w:w="576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sz w:val="24"/>
                <w:szCs w:val="24"/>
              </w:rPr>
            </w:pPr>
            <w:r>
              <w:rPr>
                <w:sz w:val="24"/>
                <w:szCs w:val="24"/>
              </w:rPr>
              <w:t>A9922523001748(EL)</w:t>
            </w:r>
          </w:p>
        </w:tc>
      </w:tr>
      <w:tr>
        <w:trPr/>
        <w:tc>
          <w:tcPr>
            <w:tcW w:w="3598" w:type="dxa"/>
            <w:tcBorders>
              <w:top w:val="single" w:sz="2" w:space="0" w:color="CCCCCC"/>
              <w:start w:val="single" w:sz="2" w:space="0" w:color="CCCCCC"/>
              <w:bottom w:val="single" w:sz="2" w:space="0" w:color="CCCCCC"/>
              <w:end w:val="single" w:sz="2" w:space="0" w:color="CCCCCC"/>
            </w:tcBorders>
            <w:shd w:color="auto" w:fill="EFF4FF" w:val="clear"/>
          </w:tcPr>
          <w:p>
            <w:pPr>
              <w:pStyle w:val="Normal"/>
              <w:rPr>
                <w:sz w:val="24"/>
                <w:szCs w:val="24"/>
              </w:rPr>
            </w:pPr>
            <w:r>
              <w:rPr>
                <w:b/>
                <w:bCs/>
                <w:sz w:val="24"/>
                <w:szCs w:val="24"/>
              </w:rPr>
              <w:t>Programme</w:t>
            </w:r>
          </w:p>
        </w:tc>
        <w:tc>
          <w:tcPr>
            <w:tcW w:w="5762" w:type="dxa"/>
            <w:tcBorders>
              <w:top w:val="single" w:sz="2" w:space="0" w:color="CCCCCC"/>
              <w:start w:val="single" w:sz="2" w:space="0" w:color="CCCCCC"/>
              <w:bottom w:val="single" w:sz="2" w:space="0" w:color="CCCCCC"/>
              <w:end w:val="single" w:sz="2" w:space="0" w:color="CCCCCC"/>
            </w:tcBorders>
            <w:shd w:color="auto" w:fill="EFF4FF" w:val="clear"/>
          </w:tcPr>
          <w:p>
            <w:pPr>
              <w:pStyle w:val="Normal"/>
              <w:rPr>
                <w:sz w:val="24"/>
                <w:szCs w:val="24"/>
              </w:rPr>
            </w:pPr>
            <w:r>
              <w:rPr>
                <w:sz w:val="24"/>
                <w:szCs w:val="24"/>
              </w:rPr>
              <w:t>Bachelor of Computer Application (Major: Data Analytics)</w:t>
            </w:r>
          </w:p>
        </w:tc>
      </w:tr>
      <w:tr>
        <w:trPr>
          <w:trHeight w:val="487" w:hRule="atLeast"/>
        </w:trPr>
        <w:tc>
          <w:tcPr>
            <w:tcW w:w="3598"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sz w:val="24"/>
                <w:szCs w:val="24"/>
              </w:rPr>
            </w:pPr>
            <w:r>
              <w:rPr>
                <w:b/>
                <w:bCs/>
                <w:sz w:val="24"/>
                <w:szCs w:val="24"/>
              </w:rPr>
              <w:t>Academic Year</w:t>
            </w:r>
          </w:p>
        </w:tc>
        <w:tc>
          <w:tcPr>
            <w:tcW w:w="576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sz w:val="24"/>
                <w:szCs w:val="24"/>
              </w:rPr>
            </w:pPr>
            <w:r>
              <w:rPr>
                <w:sz w:val="24"/>
                <w:szCs w:val="24"/>
              </w:rPr>
              <w:t>2026</w:t>
            </w:r>
          </w:p>
        </w:tc>
      </w:tr>
      <w:tr>
        <w:trPr>
          <w:trHeight w:val="487" w:hRule="atLeast"/>
        </w:trPr>
        <w:tc>
          <w:tcPr>
            <w:tcW w:w="3598" w:type="dxa"/>
            <w:tcBorders>
              <w:start w:val="single" w:sz="2" w:space="0" w:color="CCCCCC"/>
              <w:bottom w:val="single" w:sz="2" w:space="0" w:color="CCCCCC"/>
              <w:end w:val="single" w:sz="2" w:space="0" w:color="CCCCCC"/>
            </w:tcBorders>
            <w:shd w:color="auto" w:fill="FFFFFF" w:val="clear"/>
          </w:tcPr>
          <w:p>
            <w:pPr>
              <w:pStyle w:val="Normal"/>
              <w:rPr>
                <w:sz w:val="24"/>
                <w:szCs w:val="24"/>
              </w:rPr>
            </w:pPr>
            <w:r>
              <w:rPr>
                <w:b/>
                <w:bCs/>
                <w:sz w:val="24"/>
                <w:szCs w:val="24"/>
              </w:rPr>
              <w:t>Github Link</w:t>
            </w:r>
          </w:p>
        </w:tc>
        <w:tc>
          <w:tcPr>
            <w:tcW w:w="5762" w:type="dxa"/>
            <w:tcBorders>
              <w:start w:val="single" w:sz="2" w:space="0" w:color="CCCCCC"/>
              <w:bottom w:val="single" w:sz="2" w:space="0" w:color="CCCCCC"/>
              <w:end w:val="single" w:sz="2" w:space="0" w:color="CCCCCC"/>
            </w:tcBorders>
            <w:shd w:color="auto" w:fill="FFFFFF" w:val="clear"/>
          </w:tcPr>
          <w:p>
            <w:pPr>
              <w:pStyle w:val="Normal"/>
              <w:rPr>
                <w:sz w:val="24"/>
                <w:szCs w:val="24"/>
              </w:rPr>
            </w:pPr>
            <w:hyperlink r:id="rId2">
              <w:r>
                <w:rPr>
                  <w:rStyle w:val="Hyperlink"/>
                  <w:sz w:val="24"/>
                  <w:szCs w:val="24"/>
                </w:rPr>
                <w:t>https://github.com/hemantborana/fmcg-distribution-analytics</w:t>
              </w:r>
            </w:hyperlink>
            <w:r>
              <w:rPr>
                <w:sz w:val="24"/>
                <w:szCs w:val="24"/>
              </w:rPr>
              <w:t xml:space="preserve"> </w:t>
            </w:r>
          </w:p>
        </w:tc>
      </w:tr>
      <w:tr>
        <w:trPr>
          <w:trHeight w:val="487" w:hRule="atLeast"/>
        </w:trPr>
        <w:tc>
          <w:tcPr>
            <w:tcW w:w="3598" w:type="dxa"/>
            <w:tcBorders>
              <w:start w:val="single" w:sz="2" w:space="0" w:color="CCCCCC"/>
              <w:bottom w:val="single" w:sz="2" w:space="0" w:color="CCCCCC"/>
              <w:end w:val="single" w:sz="2" w:space="0" w:color="CCCCCC"/>
            </w:tcBorders>
            <w:shd w:color="auto" w:fill="FFFFFF" w:val="clear"/>
          </w:tcPr>
          <w:p>
            <w:pPr>
              <w:pStyle w:val="Normal"/>
              <w:rPr>
                <w:b/>
                <w:bCs/>
              </w:rPr>
            </w:pPr>
            <w:r>
              <w:rPr>
                <w:b/>
                <w:bCs/>
              </w:rPr>
              <w:t>Streamlit Link</w:t>
            </w:r>
          </w:p>
        </w:tc>
        <w:tc>
          <w:tcPr>
            <w:tcW w:w="5762" w:type="dxa"/>
            <w:tcBorders>
              <w:start w:val="single" w:sz="2" w:space="0" w:color="CCCCCC"/>
              <w:bottom w:val="single" w:sz="2" w:space="0" w:color="CCCCCC"/>
              <w:end w:val="single" w:sz="2" w:space="0" w:color="CCCCCC"/>
            </w:tcBorders>
            <w:shd w:color="auto" w:fill="FFFFFF" w:val="clear"/>
          </w:tcPr>
          <w:p>
            <w:pPr>
              <w:pStyle w:val="Normal"/>
              <w:rPr>
                <w:sz w:val="24"/>
                <w:szCs w:val="24"/>
              </w:rPr>
            </w:pPr>
            <w:hyperlink r:id="rId3">
              <w:r>
                <w:rPr>
                  <w:rStyle w:val="Hyperlink"/>
                  <w:sz w:val="24"/>
                  <w:szCs w:val="24"/>
                </w:rPr>
                <w:t>https://fmcg-distribution-analytics.streamlit.app/</w:t>
              </w:r>
            </w:hyperlink>
            <w:r>
              <w:rPr>
                <w:sz w:val="24"/>
                <w:szCs w:val="24"/>
              </w:rPr>
              <w:t xml:space="preserve"> </w:t>
            </w:r>
          </w:p>
        </w:tc>
      </w:tr>
    </w:tbl>
    <w:p>
      <w:pPr>
        <w:pStyle w:val="Normal"/>
        <w:spacing w:lineRule="auto" w:line="480" w:before="0" w:after="160"/>
        <w:jc w:val="center"/>
        <w:rPr>
          <w:sz w:val="24"/>
          <w:szCs w:val="24"/>
        </w:rPr>
      </w:pPr>
      <w:r>
        <w:rPr>
          <w:b/>
          <w:bCs/>
          <w:sz w:val="24"/>
          <w:szCs w:val="24"/>
          <w:u w:val="single"/>
        </w:rPr>
        <w:t>ABSTRACT</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The rapid expansion of organized retail in India has placed increasing pressure on regional Fast-Moving Consumer Goods (FMCG) distributors to operate with greater efficiency, accuracy, and data-driven intelligence. Yet the majority of small and medium-scale distributors continue to rely on manual, fragmented processes for order management, inventory tracking, and purchase planning — processes that generate significant operational inefficiencies, data voids, and missed business opportunities. This project addresses these challenges by designing, developing, and deploying a comprehensive distribution management and analytics system for a regional innerwear and apparel distributor operating in the Goa territory of India.</w:t>
      </w:r>
    </w:p>
    <w:p>
      <w:pPr>
        <w:pStyle w:val="Normal"/>
        <w:spacing w:lineRule="auto" w:line="480" w:before="0" w:after="200"/>
        <w:ind w:firstLine="720"/>
        <w:jc w:val="both"/>
        <w:rPr>
          <w:sz w:val="24"/>
          <w:szCs w:val="24"/>
        </w:rPr>
      </w:pPr>
      <w:r>
        <w:rPr>
          <w:sz w:val="24"/>
          <w:szCs w:val="24"/>
        </w:rPr>
        <w:t>The project encompasses two interconnected components. The first component is a custom-built digital distribution management system — developed across two iterative versions over approximately two years — that replaces a manual diary-and-WhatsApp order collection process with a mobile-accessible, role-based digital platform. The system features real-time stock visibility through automated web scraping of the parent company's Enterprise Resource Planning (ERP) portal, a one-click purchase order placement module that auto-populates the company's order template and dispatches it via email, and cloud-based order data storage through Google Drive and Google Apps Script integration. All architectural decisions, integration logic, user interface design, and feature specifications were determined by the student researcher; AI-assisted coding tools were used solely as implementation aids.</w:t>
      </w:r>
    </w:p>
    <w:p>
      <w:pPr>
        <w:pStyle w:val="Normal"/>
        <w:spacing w:lineRule="auto" w:line="480" w:before="0" w:after="200"/>
        <w:ind w:firstLine="720"/>
        <w:jc w:val="both"/>
        <w:rPr>
          <w:sz w:val="24"/>
          <w:szCs w:val="24"/>
        </w:rPr>
      </w:pPr>
      <w:r>
        <w:rPr>
          <w:sz w:val="24"/>
          <w:szCs w:val="24"/>
        </w:rPr>
        <w:t>The second component is a Python-based data analysis and demand forecasting framework applied to the structured operational data generated by the system and supplemented by historical records extracted from the firm's ERP software. The analysis draws on six datasets: sales billing records covering 13,290 invoice line items from June 2023 to March 2026; purchase invoices covering 10,071 line items from November 2023 to March 2026; app-recorded order data comprising 2,558 line items from November 2025 to March 2026; 132 usable daily stock snapshots from November 2025 to March 2026; a SKU master catalogue of 5,363 product variants; and an outlet database of 107 registered retail accounts.</w:t>
      </w:r>
    </w:p>
    <w:p>
      <w:pPr>
        <w:pStyle w:val="Normal"/>
        <w:spacing w:lineRule="auto" w:line="480" w:before="0" w:after="200"/>
        <w:ind w:firstLine="720"/>
        <w:jc w:val="both"/>
        <w:rPr>
          <w:sz w:val="24"/>
          <w:szCs w:val="24"/>
        </w:rPr>
      </w:pPr>
      <w:r>
        <w:rPr>
          <w:sz w:val="24"/>
          <w:szCs w:val="24"/>
        </w:rPr>
        <w:t>The exploratory data analysis reveals consistent year-on-year sales growth — 17.8% in volume and 28.3% in value from FY 2024-25 to FY 2025-26 — alongside a highly concentrated demand profile in which the top two style codes account for 44.4% of total sales volume and the top two retail accounts contribute 54.6% of total business. A key analytical finding is the identification of two structurally distinct demand drivers: genuine seasonal demand peaking in May and July, and incentive-driven bulk purchasing by retail accounts with annual purchase targets, peaking in December and March. This distinction, validated against stock snapshot data showing near-stockout conditions following incentive-driven purchase events, represents an original contribution of the study.</w:t>
      </w:r>
    </w:p>
    <w:p>
      <w:pPr>
        <w:pStyle w:val="Normal"/>
        <w:spacing w:lineRule="auto" w:line="480" w:before="0" w:after="200"/>
        <w:ind w:firstLine="720"/>
        <w:jc w:val="both"/>
        <w:rPr>
          <w:sz w:val="24"/>
          <w:szCs w:val="24"/>
        </w:rPr>
      </w:pPr>
      <w:r>
        <w:rPr>
          <w:sz w:val="24"/>
          <w:szCs w:val="24"/>
        </w:rPr>
        <w:t>Two demand forecasting models — a three-month Moving Average and a Linear Regression model with seasonal features — are developed and evaluated on a four-month holdout test period. The Linear Regression model outperforms the Moving Average on all metrics, producing a Mean Absolute Error of 134.8 units per month at the style level. A three-month forward forecast for April to June 2026 projects demand of 200-235 units per month for the top style code, providing the distributor with a quantitative purchase planning baseline for the first time in the firm's operating history.</w:t>
      </w:r>
    </w:p>
    <w:p>
      <w:pPr>
        <w:pStyle w:val="Normal"/>
        <w:spacing w:lineRule="auto" w:line="480" w:before="0" w:after="200"/>
        <w:ind w:firstLine="720"/>
        <w:jc w:val="both"/>
        <w:rPr>
          <w:sz w:val="24"/>
          <w:szCs w:val="24"/>
        </w:rPr>
      </w:pPr>
      <w:r>
        <w:rPr>
          <w:sz w:val="24"/>
          <w:szCs w:val="24"/>
        </w:rPr>
        <w:t>The project demonstrates that a lightweight, custom-built digital order management system combined with Python-based analytics and demand forecasting can meaningfully transform the operational intelligence of a regional FMCG distributor without the cost and complexity of enterprise software. The system is operational and in active use; the analytical framework is scalable; and the data asset accumulated through continued system operation will progressively improve the forecasting model's accuracy.</w:t>
      </w:r>
    </w:p>
    <w:p>
      <w:pPr>
        <w:pStyle w:val="Normal"/>
        <w:spacing w:lineRule="auto" w:line="480"/>
        <w:rPr>
          <w:sz w:val="24"/>
          <w:szCs w:val="24"/>
        </w:rPr>
      </w:pPr>
      <w:r>
        <w:rPr>
          <w:sz w:val="24"/>
          <w:szCs w:val="24"/>
        </w:rPr>
      </w:r>
    </w:p>
    <w:p>
      <w:pPr>
        <w:pStyle w:val="Normal"/>
        <w:spacing w:lineRule="auto" w:line="480" w:before="0" w:after="100"/>
        <w:rPr>
          <w:sz w:val="24"/>
          <w:szCs w:val="24"/>
        </w:rPr>
      </w:pPr>
      <w:r>
        <w:rPr>
          <w:b/>
          <w:bCs/>
          <w:i/>
          <w:iCs/>
          <w:sz w:val="24"/>
          <w:szCs w:val="24"/>
        </w:rPr>
        <w:t xml:space="preserve">Keywords: </w:t>
      </w:r>
      <w:r>
        <w:rPr>
          <w:i/>
          <w:iCs/>
          <w:sz w:val="24"/>
          <w:szCs w:val="24"/>
        </w:rPr>
        <w:t>FMCG distribution, order management system, demand forecasting, inventory management, Python analytics, SKU-level forecasting, digital transformation, SME distribution, moving average, linear regression, Streamlit dashboard.</w:t>
      </w:r>
    </w:p>
    <w:p>
      <w:pPr>
        <w:pStyle w:val="Normal"/>
        <w:rPr>
          <w:sz w:val="24"/>
          <w:szCs w:val="24"/>
        </w:rPr>
      </w:pPr>
      <w:r>
        <w:rPr>
          <w:b/>
          <w:bCs/>
          <w:sz w:val="24"/>
          <w:szCs w:val="24"/>
          <w:u w:val="single"/>
        </w:rPr>
      </w:r>
    </w:p>
    <w:p>
      <w:pPr>
        <w:pStyle w:val="Normal"/>
        <w:rPr>
          <w:sz w:val="24"/>
          <w:szCs w:val="24"/>
        </w:rPr>
      </w:pPr>
      <w:r>
        <w:rPr>
          <w:b/>
          <w:bCs/>
          <w:sz w:val="24"/>
          <w:szCs w:val="24"/>
          <w:u w:val="single"/>
        </w:rPr>
      </w:r>
      <w:r>
        <w:br w:type="page"/>
      </w:r>
    </w:p>
    <w:p>
      <w:pPr>
        <w:pStyle w:val="Normal"/>
        <w:rPr>
          <w:b/>
          <w:bCs/>
          <w:sz w:val="24"/>
          <w:szCs w:val="24"/>
          <w:u w:val="single"/>
        </w:rPr>
      </w:pPr>
      <w:r>
        <w:rPr>
          <w:b/>
          <w:bCs/>
          <w:sz w:val="24"/>
          <w:szCs w:val="24"/>
          <w:u w:val="single"/>
        </w:rPr>
      </w:r>
    </w:p>
    <w:sdt>
      <w:sdtPr>
        <w:docPartObj>
          <w:docPartGallery w:val="Table of Contents"/>
          <w:docPartUnique w:val="true"/>
        </w:docPartObj>
      </w:sdtPr>
      <w:sdtContent>
        <w:p>
          <w:pPr>
            <w:pStyle w:val="TOCHeading"/>
            <w:rPr/>
          </w:pPr>
          <w:r>
            <w:rPr/>
            <w:t>Table of Contents</w:t>
          </w:r>
        </w:p>
        <w:p>
          <w:pPr>
            <w:pStyle w:val="TOC1"/>
            <w:tabs>
              <w:tab w:val="clear" w:pos="9360"/>
              <w:tab w:val="right" w:pos="9359" w:leader="dot"/>
            </w:tabs>
            <w:rPr/>
          </w:pPr>
          <w:r>
            <w:fldChar w:fldCharType="begin"/>
          </w:r>
          <w:r>
            <w:rPr>
              <w:rStyle w:val="IndexLink"/>
            </w:rPr>
            <w:instrText xml:space="preserve"> TOC \f \o "1-9" \h</w:instrText>
          </w:r>
          <w:r>
            <w:rPr>
              <w:rStyle w:val="IndexLink"/>
            </w:rPr>
            <w:fldChar w:fldCharType="separate"/>
          </w:r>
          <w:hyperlink w:anchor="__RefHeading___Toc2670_4269637869" w:tooltip="CHAPTER 1: INTRODUCTION TO THE TOPIC">
            <w:r>
              <w:rPr>
                <w:rStyle w:val="IndexLink"/>
              </w:rPr>
              <w:t>CHAPTER 1: INTRODUCTION TO THE TOPIC</w:t>
              <w:tab/>
              <w:t>9</w:t>
            </w:r>
          </w:hyperlink>
        </w:p>
        <w:p>
          <w:pPr>
            <w:pStyle w:val="TOC2"/>
            <w:tabs>
              <w:tab w:val="clear" w:pos="9077"/>
              <w:tab w:val="right" w:pos="9359" w:leader="dot"/>
            </w:tabs>
            <w:rPr/>
          </w:pPr>
          <w:hyperlink w:anchor="__RefHeading___Toc2672_4269637869" w:tooltip="1.1 Overview of FMCG Distribution Operations in India">
            <w:r>
              <w:rPr>
                <w:rStyle w:val="IndexLink"/>
              </w:rPr>
              <w:t>1.1 Overview of FMCG Distribution Operations in India</w:t>
              <w:tab/>
              <w:t>9</w:t>
            </w:r>
          </w:hyperlink>
        </w:p>
        <w:p>
          <w:pPr>
            <w:pStyle w:val="TOC2"/>
            <w:tabs>
              <w:tab w:val="clear" w:pos="9077"/>
              <w:tab w:val="right" w:pos="9359" w:leader="dot"/>
            </w:tabs>
            <w:rPr/>
          </w:pPr>
          <w:hyperlink w:anchor="__RefHeading___Toc2674_4269637869" w:tooltip="1.2 Background of the Organization">
            <w:r>
              <w:rPr>
                <w:rStyle w:val="IndexLink"/>
              </w:rPr>
              <w:t>1.2 Background of the Organization</w:t>
              <w:tab/>
              <w:t>10</w:t>
            </w:r>
          </w:hyperlink>
        </w:p>
        <w:p>
          <w:pPr>
            <w:pStyle w:val="TOC2"/>
            <w:tabs>
              <w:tab w:val="clear" w:pos="9077"/>
              <w:tab w:val="right" w:pos="9359" w:leader="dot"/>
            </w:tabs>
            <w:rPr/>
          </w:pPr>
          <w:hyperlink w:anchor="__RefHeading___Toc2676_4269637869" w:tooltip="1.3 Statement of the Problem">
            <w:r>
              <w:rPr>
                <w:rStyle w:val="IndexLink"/>
              </w:rPr>
              <w:t>1.3 Statement of the Problem</w:t>
              <w:tab/>
              <w:t>12</w:t>
            </w:r>
          </w:hyperlink>
        </w:p>
        <w:p>
          <w:pPr>
            <w:pStyle w:val="TOC2"/>
            <w:tabs>
              <w:tab w:val="clear" w:pos="9077"/>
              <w:tab w:val="right" w:pos="9359" w:leader="dot"/>
            </w:tabs>
            <w:rPr/>
          </w:pPr>
          <w:hyperlink w:anchor="__RefHeading___Toc2678_4269637869" w:tooltip="1.4 Justification for Selection of the Topic">
            <w:r>
              <w:rPr>
                <w:rStyle w:val="IndexLink"/>
              </w:rPr>
              <w:t>1.4 Justification for Selection of the Topic</w:t>
              <w:tab/>
              <w:t>13</w:t>
            </w:r>
          </w:hyperlink>
        </w:p>
        <w:p>
          <w:pPr>
            <w:pStyle w:val="TOC2"/>
            <w:tabs>
              <w:tab w:val="clear" w:pos="9077"/>
              <w:tab w:val="right" w:pos="9359" w:leader="dot"/>
            </w:tabs>
            <w:rPr/>
          </w:pPr>
          <w:hyperlink w:anchor="__RefHeading___Toc2680_4269637869" w:tooltip="1.5 Evolution of the System: Version 1 to Version 2 and the Forecasting Module">
            <w:r>
              <w:rPr>
                <w:rStyle w:val="IndexLink"/>
              </w:rPr>
              <w:t>1.5 Evolution of the System: Version 1 to Version 2 and the Forecasting Module</w:t>
              <w:tab/>
              <w:t>15</w:t>
            </w:r>
          </w:hyperlink>
        </w:p>
        <w:p>
          <w:pPr>
            <w:pStyle w:val="TOC2"/>
            <w:tabs>
              <w:tab w:val="clear" w:pos="9077"/>
              <w:tab w:val="right" w:pos="9359" w:leader="dot"/>
            </w:tabs>
            <w:rPr/>
          </w:pPr>
          <w:hyperlink w:anchor="__RefHeading___Toc2682_4269637869" w:tooltip="1.6 Scope of the Study">
            <w:r>
              <w:rPr>
                <w:rStyle w:val="IndexLink"/>
              </w:rPr>
              <w:t>1.6 Scope of the Study</w:t>
              <w:tab/>
              <w:t>17</w:t>
            </w:r>
          </w:hyperlink>
        </w:p>
        <w:p>
          <w:pPr>
            <w:pStyle w:val="TOC2"/>
            <w:tabs>
              <w:tab w:val="clear" w:pos="9077"/>
              <w:tab w:val="right" w:pos="9359" w:leader="dot"/>
            </w:tabs>
            <w:rPr/>
          </w:pPr>
          <w:hyperlink w:anchor="__RefHeading___Toc2684_4269637869" w:tooltip="1.7 Structure of the Report">
            <w:r>
              <w:rPr>
                <w:rStyle w:val="IndexLink"/>
              </w:rPr>
              <w:t>1.7 Structure of the Report</w:t>
              <w:tab/>
              <w:t>18</w:t>
            </w:r>
          </w:hyperlink>
        </w:p>
        <w:p>
          <w:pPr>
            <w:pStyle w:val="TOC1"/>
            <w:tabs>
              <w:tab w:val="clear" w:pos="9360"/>
              <w:tab w:val="right" w:pos="9359" w:leader="dot"/>
            </w:tabs>
            <w:rPr/>
          </w:pPr>
          <w:hyperlink w:anchor="__RefHeading___Toc2686_4269637869" w:tooltip="CHAPTER 2: REVIEW OF LITERATURE">
            <w:r>
              <w:rPr>
                <w:rStyle w:val="IndexLink"/>
              </w:rPr>
              <w:t>CHAPTER 2: REVIEW OF LITERATURE</w:t>
              <w:tab/>
              <w:t>19</w:t>
            </w:r>
          </w:hyperlink>
        </w:p>
        <w:p>
          <w:pPr>
            <w:pStyle w:val="TOC2"/>
            <w:tabs>
              <w:tab w:val="clear" w:pos="9077"/>
              <w:tab w:val="right" w:pos="9359" w:leader="dot"/>
            </w:tabs>
            <w:rPr/>
          </w:pPr>
          <w:hyperlink w:anchor="__RefHeading___Toc2688_4269637869" w:tooltip="2.1 Introduction to the Review">
            <w:r>
              <w:rPr>
                <w:rStyle w:val="IndexLink"/>
              </w:rPr>
              <w:t>2.1 Introduction to the Review</w:t>
              <w:tab/>
              <w:t>19</w:t>
            </w:r>
          </w:hyperlink>
        </w:p>
        <w:p>
          <w:pPr>
            <w:pStyle w:val="TOC2"/>
            <w:tabs>
              <w:tab w:val="clear" w:pos="9077"/>
              <w:tab w:val="right" w:pos="9359" w:leader="dot"/>
            </w:tabs>
            <w:rPr/>
          </w:pPr>
          <w:hyperlink w:anchor="__RefHeading___Toc2690_4269637869" w:tooltip="2.2 Digital Transformation in FMCG Distribution and Order Management">
            <w:r>
              <w:rPr>
                <w:rStyle w:val="IndexLink"/>
              </w:rPr>
              <w:t>2.2 Digital Transformation in FMCG Distribution and Order Management</w:t>
              <w:tab/>
              <w:t>19</w:t>
            </w:r>
          </w:hyperlink>
        </w:p>
        <w:p>
          <w:pPr>
            <w:pStyle w:val="TOC2"/>
            <w:tabs>
              <w:tab w:val="clear" w:pos="9077"/>
              <w:tab w:val="right" w:pos="9359" w:leader="dot"/>
            </w:tabs>
            <w:rPr/>
          </w:pPr>
          <w:hyperlink w:anchor="__RefHeading___Toc2692_4269637869" w:tooltip="2.3 Demand Forecasting in FMCG and Retail Contexts">
            <w:r>
              <w:rPr>
                <w:rStyle w:val="IndexLink"/>
              </w:rPr>
              <w:t>2.3 Demand Forecasting in FMCG and Retail Contexts</w:t>
              <w:tab/>
              <w:t>21</w:t>
            </w:r>
          </w:hyperlink>
        </w:p>
        <w:p>
          <w:pPr>
            <w:pStyle w:val="TOC2"/>
            <w:tabs>
              <w:tab w:val="clear" w:pos="9077"/>
              <w:tab w:val="right" w:pos="9359" w:leader="dot"/>
            </w:tabs>
            <w:rPr/>
          </w:pPr>
          <w:hyperlink w:anchor="__RefHeading___Toc2694_4269637869" w:tooltip="2.4 Inventory Optimization and Stockout Management">
            <w:r>
              <w:rPr>
                <w:rStyle w:val="IndexLink"/>
              </w:rPr>
              <w:t>2.4 Inventory Optimization and Stockout Management</w:t>
              <w:tab/>
              <w:t>23</w:t>
            </w:r>
          </w:hyperlink>
        </w:p>
        <w:p>
          <w:pPr>
            <w:pStyle w:val="TOC2"/>
            <w:tabs>
              <w:tab w:val="clear" w:pos="9077"/>
              <w:tab w:val="right" w:pos="9359" w:leader="dot"/>
            </w:tabs>
            <w:rPr/>
          </w:pPr>
          <w:hyperlink w:anchor="__RefHeading___Toc2696_4269637869" w:tooltip="2.5 Data Analytics in SME Operations and Distribution">
            <w:r>
              <w:rPr>
                <w:rStyle w:val="IndexLink"/>
              </w:rPr>
              <w:t>2.5 Data Analytics in SME Operations and Distribution</w:t>
              <w:tab/>
              <w:t>24</w:t>
            </w:r>
          </w:hyperlink>
        </w:p>
        <w:p>
          <w:pPr>
            <w:pStyle w:val="TOC2"/>
            <w:tabs>
              <w:tab w:val="clear" w:pos="9077"/>
              <w:tab w:val="right" w:pos="9359" w:leader="dot"/>
            </w:tabs>
            <w:rPr/>
          </w:pPr>
          <w:hyperlink w:anchor="__RefHeading___Toc2698_4269637869" w:tooltip="2.6 Research Gaps Identified">
            <w:r>
              <w:rPr>
                <w:rStyle w:val="IndexLink"/>
              </w:rPr>
              <w:t>2.6 Research Gaps Identified</w:t>
              <w:tab/>
              <w:t>25</w:t>
            </w:r>
          </w:hyperlink>
        </w:p>
        <w:p>
          <w:pPr>
            <w:pStyle w:val="TOC2"/>
            <w:tabs>
              <w:tab w:val="clear" w:pos="9077"/>
              <w:tab w:val="right" w:pos="9359" w:leader="dot"/>
            </w:tabs>
            <w:rPr/>
          </w:pPr>
          <w:hyperlink w:anchor="__RefHeading___Toc2700_4269637869" w:tooltip="2.7 Summary of Literature Review">
            <w:r>
              <w:rPr>
                <w:rStyle w:val="IndexLink"/>
              </w:rPr>
              <w:t>2.7 Summary of Literature Review</w:t>
              <w:tab/>
              <w:t>26</w:t>
            </w:r>
          </w:hyperlink>
        </w:p>
        <w:p>
          <w:pPr>
            <w:pStyle w:val="TOC2"/>
            <w:tabs>
              <w:tab w:val="clear" w:pos="9077"/>
              <w:tab w:val="right" w:pos="9359" w:leader="dot"/>
            </w:tabs>
            <w:rPr/>
          </w:pPr>
          <w:hyperlink w:anchor="__RefHeading___Toc2702_4269637869" w:tooltip="References">
            <w:r>
              <w:rPr>
                <w:rStyle w:val="IndexLink"/>
              </w:rPr>
              <w:t>References</w:t>
              <w:tab/>
              <w:t>27</w:t>
            </w:r>
          </w:hyperlink>
        </w:p>
        <w:p>
          <w:pPr>
            <w:pStyle w:val="TOC1"/>
            <w:tabs>
              <w:tab w:val="clear" w:pos="9360"/>
              <w:tab w:val="right" w:pos="9359" w:leader="dot"/>
            </w:tabs>
            <w:rPr/>
          </w:pPr>
          <w:hyperlink w:anchor="__RefHeading___Toc2704_4269637869" w:tooltip="CHAPTER 3: RESEARCH OBJECTIVES AND METHODOLOGY">
            <w:r>
              <w:rPr>
                <w:rStyle w:val="IndexLink"/>
              </w:rPr>
              <w:t>CHAPTER 3: RESEARCH OBJECTIVES AND METHODOLOGY</w:t>
              <w:tab/>
              <w:t>29</w:t>
            </w:r>
          </w:hyperlink>
        </w:p>
        <w:p>
          <w:pPr>
            <w:pStyle w:val="TOC2"/>
            <w:tabs>
              <w:tab w:val="clear" w:pos="9077"/>
              <w:tab w:val="right" w:pos="9359" w:leader="dot"/>
            </w:tabs>
            <w:rPr/>
          </w:pPr>
          <w:hyperlink w:anchor="__RefHeading___Toc2706_4269637869" w:tooltip="3.1 Research Objectives">
            <w:r>
              <w:rPr>
                <w:rStyle w:val="IndexLink"/>
              </w:rPr>
              <w:t>3.1 Research Objectives</w:t>
              <w:tab/>
              <w:t>29</w:t>
            </w:r>
          </w:hyperlink>
        </w:p>
        <w:p>
          <w:pPr>
            <w:pStyle w:val="TOC2"/>
            <w:tabs>
              <w:tab w:val="clear" w:pos="9077"/>
              <w:tab w:val="right" w:pos="9359" w:leader="dot"/>
            </w:tabs>
            <w:rPr/>
          </w:pPr>
          <w:hyperlink w:anchor="__RefHeading___Toc2708_4269637869" w:tooltip="3.2 Research Problem">
            <w:r>
              <w:rPr>
                <w:rStyle w:val="IndexLink"/>
              </w:rPr>
              <w:t>3.2 Research Problem</w:t>
              <w:tab/>
              <w:t>30</w:t>
            </w:r>
          </w:hyperlink>
        </w:p>
        <w:p>
          <w:pPr>
            <w:pStyle w:val="TOC2"/>
            <w:tabs>
              <w:tab w:val="clear" w:pos="9077"/>
              <w:tab w:val="right" w:pos="9359" w:leader="dot"/>
            </w:tabs>
            <w:rPr/>
          </w:pPr>
          <w:hyperlink w:anchor="__RefHeading___Toc2710_4269637869" w:tooltip="3.3 Research Design">
            <w:r>
              <w:rPr>
                <w:rStyle w:val="IndexLink"/>
              </w:rPr>
              <w:t>3.3 Research Design</w:t>
              <w:tab/>
              <w:t>30</w:t>
            </w:r>
          </w:hyperlink>
        </w:p>
        <w:p>
          <w:pPr>
            <w:pStyle w:val="TOC2"/>
            <w:tabs>
              <w:tab w:val="clear" w:pos="9077"/>
              <w:tab w:val="right" w:pos="9359" w:leader="dot"/>
            </w:tabs>
            <w:rPr/>
          </w:pPr>
          <w:hyperlink w:anchor="__RefHeading___Toc2712_4269637869" w:tooltip="3.4 Type of Data Used">
            <w:r>
              <w:rPr>
                <w:rStyle w:val="IndexLink"/>
              </w:rPr>
              <w:t>3.4 Type of Data Used</w:t>
              <w:tab/>
              <w:t>31</w:t>
            </w:r>
          </w:hyperlink>
        </w:p>
        <w:p>
          <w:pPr>
            <w:pStyle w:val="TOC2"/>
            <w:tabs>
              <w:tab w:val="clear" w:pos="9077"/>
              <w:tab w:val="right" w:pos="9359" w:leader="dot"/>
            </w:tabs>
            <w:rPr/>
          </w:pPr>
          <w:hyperlink w:anchor="__RefHeading___Toc2714_4269637869" w:tooltip="3.5 Data Collection Method">
            <w:r>
              <w:rPr>
                <w:rStyle w:val="IndexLink"/>
              </w:rPr>
              <w:t>3.5 Data Collection Method</w:t>
              <w:tab/>
              <w:t>32</w:t>
            </w:r>
          </w:hyperlink>
        </w:p>
        <w:p>
          <w:pPr>
            <w:pStyle w:val="TOC2"/>
            <w:tabs>
              <w:tab w:val="clear" w:pos="9077"/>
              <w:tab w:val="right" w:pos="9359" w:leader="dot"/>
            </w:tabs>
            <w:rPr/>
          </w:pPr>
          <w:hyperlink w:anchor="__RefHeading___Toc2716_4269637869" w:tooltip="3.6 Data Collection Instrument">
            <w:r>
              <w:rPr>
                <w:rStyle w:val="IndexLink"/>
              </w:rPr>
              <w:t>3.6 Data Collection Instrument</w:t>
              <w:tab/>
              <w:t>33</w:t>
            </w:r>
          </w:hyperlink>
        </w:p>
        <w:p>
          <w:pPr>
            <w:pStyle w:val="TOC2"/>
            <w:tabs>
              <w:tab w:val="clear" w:pos="9077"/>
              <w:tab w:val="right" w:pos="9359" w:leader="dot"/>
            </w:tabs>
            <w:rPr/>
          </w:pPr>
          <w:hyperlink w:anchor="__RefHeading___Toc2718_4269637869" w:tooltip="3.7 Sample Size">
            <w:r>
              <w:rPr>
                <w:rStyle w:val="IndexLink"/>
              </w:rPr>
              <w:t>3.7 Sample Size</w:t>
              <w:tab/>
              <w:t>34</w:t>
            </w:r>
          </w:hyperlink>
        </w:p>
        <w:p>
          <w:pPr>
            <w:pStyle w:val="TOC2"/>
            <w:tabs>
              <w:tab w:val="clear" w:pos="9077"/>
              <w:tab w:val="right" w:pos="9359" w:leader="dot"/>
            </w:tabs>
            <w:rPr/>
          </w:pPr>
          <w:hyperlink w:anchor="__RefHeading___Toc2720_4269637869" w:tooltip="3.8 Sampling Technique">
            <w:r>
              <w:rPr>
                <w:rStyle w:val="IndexLink"/>
              </w:rPr>
              <w:t>3.8 Sampling Technique</w:t>
              <w:tab/>
              <w:t>35</w:t>
            </w:r>
          </w:hyperlink>
        </w:p>
        <w:p>
          <w:pPr>
            <w:pStyle w:val="TOC2"/>
            <w:tabs>
              <w:tab w:val="clear" w:pos="9077"/>
              <w:tab w:val="right" w:pos="9359" w:leader="dot"/>
            </w:tabs>
            <w:rPr/>
          </w:pPr>
          <w:hyperlink w:anchor="__RefHeading___Toc2722_4269637869" w:tooltip="3.9 Data Analysis Tool">
            <w:r>
              <w:rPr>
                <w:rStyle w:val="IndexLink"/>
              </w:rPr>
              <w:t>3.9 Data Analysis Tool</w:t>
              <w:tab/>
              <w:t>36</w:t>
            </w:r>
          </w:hyperlink>
        </w:p>
        <w:p>
          <w:pPr>
            <w:pStyle w:val="TOC2"/>
            <w:tabs>
              <w:tab w:val="clear" w:pos="9077"/>
              <w:tab w:val="right" w:pos="9359" w:leader="dot"/>
            </w:tabs>
            <w:rPr/>
          </w:pPr>
          <w:hyperlink w:anchor="__RefHeading___Toc2724_4269637869" w:tooltip="3.10 Data Limitations and Integrity Notes">
            <w:r>
              <w:rPr>
                <w:rStyle w:val="IndexLink"/>
              </w:rPr>
              <w:t>3.10 Data Limitations and Integrity Notes</w:t>
              <w:tab/>
              <w:t>37</w:t>
            </w:r>
          </w:hyperlink>
        </w:p>
        <w:p>
          <w:pPr>
            <w:pStyle w:val="TOC1"/>
            <w:tabs>
              <w:tab w:val="clear" w:pos="9360"/>
              <w:tab w:val="right" w:pos="9359" w:leader="dot"/>
            </w:tabs>
            <w:rPr/>
          </w:pPr>
          <w:hyperlink w:anchor="__RefHeading___Toc2726_4269637869" w:tooltip="CHAPTER 4: DATA ANALYSIS, RESULTS AND INTERPRETATION">
            <w:r>
              <w:rPr>
                <w:rStyle w:val="IndexLink"/>
              </w:rPr>
              <w:t>CHAPTER 4: DATA ANALYSIS, RESULTS AND INTERPRETATION</w:t>
              <w:tab/>
              <w:t>39</w:t>
            </w:r>
          </w:hyperlink>
        </w:p>
        <w:p>
          <w:pPr>
            <w:pStyle w:val="TOC2"/>
            <w:tabs>
              <w:tab w:val="clear" w:pos="9077"/>
              <w:tab w:val="right" w:pos="9359" w:leader="dot"/>
            </w:tabs>
            <w:rPr/>
          </w:pPr>
          <w:hyperlink w:anchor="__RefHeading___Toc2728_4269637869" w:tooltip="4.1 Overview of Dataset">
            <w:r>
              <w:rPr>
                <w:rStyle w:val="IndexLink"/>
              </w:rPr>
              <w:t>4.1 Overview of Dataset</w:t>
              <w:tab/>
              <w:t>39</w:t>
            </w:r>
          </w:hyperlink>
        </w:p>
        <w:p>
          <w:pPr>
            <w:pStyle w:val="TOC2"/>
            <w:tabs>
              <w:tab w:val="clear" w:pos="9077"/>
              <w:tab w:val="right" w:pos="9359" w:leader="dot"/>
            </w:tabs>
            <w:rPr/>
          </w:pPr>
          <w:hyperlink w:anchor="__RefHeading___Toc2730_4269637869" w:tooltip="4.2 Overall Sales Performance Analysis">
            <w:r>
              <w:rPr>
                <w:rStyle w:val="IndexLink"/>
              </w:rPr>
              <w:t>4.2 Overall Sales Performance Analysis</w:t>
              <w:tab/>
              <w:t>40</w:t>
            </w:r>
          </w:hyperlink>
        </w:p>
        <w:p>
          <w:pPr>
            <w:pStyle w:val="TOC3"/>
            <w:tabs>
              <w:tab w:val="clear" w:pos="8793"/>
              <w:tab w:val="right" w:pos="9359" w:leader="dot"/>
            </w:tabs>
            <w:rPr/>
          </w:pPr>
          <w:hyperlink w:anchor="__RefHeading___Toc2732_4269637869" w:tooltip="4.2.1 Financial Year-Wise Performance">
            <w:r>
              <w:rPr>
                <w:rStyle w:val="IndexLink"/>
              </w:rPr>
              <w:t>4.2.1 Financial Year-Wise Performance</w:t>
              <w:tab/>
              <w:t>40</w:t>
            </w:r>
          </w:hyperlink>
        </w:p>
        <w:p>
          <w:pPr>
            <w:pStyle w:val="TOC3"/>
            <w:tabs>
              <w:tab w:val="clear" w:pos="8793"/>
              <w:tab w:val="right" w:pos="9359" w:leader="dot"/>
            </w:tabs>
            <w:rPr/>
          </w:pPr>
          <w:hyperlink w:anchor="__RefHeading___Toc2734_4269637869" w:tooltip="4.2.2 Monthly Sales Trend">
            <w:r>
              <w:rPr>
                <w:rStyle w:val="IndexLink"/>
              </w:rPr>
              <w:t>4.2.2 Monthly Sales Trend</w:t>
              <w:tab/>
              <w:t>41</w:t>
            </w:r>
          </w:hyperlink>
        </w:p>
        <w:p>
          <w:pPr>
            <w:pStyle w:val="TOC2"/>
            <w:tabs>
              <w:tab w:val="clear" w:pos="9077"/>
              <w:tab w:val="right" w:pos="9359" w:leader="dot"/>
            </w:tabs>
            <w:rPr/>
          </w:pPr>
          <w:hyperlink w:anchor="__RefHeading___Toc2736_4269637869" w:tooltip="4.3 Product-Level Analysis">
            <w:r>
              <w:rPr>
                <w:rStyle w:val="IndexLink"/>
              </w:rPr>
              <w:t>4.3 Product-Level Analysis</w:t>
              <w:tab/>
              <w:t>41</w:t>
            </w:r>
          </w:hyperlink>
        </w:p>
        <w:p>
          <w:pPr>
            <w:pStyle w:val="TOC3"/>
            <w:tabs>
              <w:tab w:val="clear" w:pos="8793"/>
              <w:tab w:val="right" w:pos="9359" w:leader="dot"/>
            </w:tabs>
            <w:rPr/>
          </w:pPr>
          <w:hyperlink w:anchor="__RefHeading___Toc2738_4269637869" w:tooltip="4.3.1 Top Style Codes by Sales Volume">
            <w:r>
              <w:rPr>
                <w:rStyle w:val="IndexLink"/>
              </w:rPr>
              <w:t>4.3.1 Top Style Codes by Sales Volume</w:t>
              <w:tab/>
              <w:t>41</w:t>
            </w:r>
          </w:hyperlink>
        </w:p>
        <w:p>
          <w:pPr>
            <w:pStyle w:val="TOC3"/>
            <w:tabs>
              <w:tab w:val="clear" w:pos="8793"/>
              <w:tab w:val="right" w:pos="9359" w:leader="dot"/>
            </w:tabs>
            <w:rPr/>
          </w:pPr>
          <w:hyperlink w:anchor="__RefHeading___Toc2740_4269637869" w:tooltip="4.3.2 Category-Level Sales Distribution">
            <w:r>
              <w:rPr>
                <w:rStyle w:val="IndexLink"/>
              </w:rPr>
              <w:t>4.3.2 Category-Level Sales Distribution</w:t>
              <w:tab/>
              <w:t>42</w:t>
            </w:r>
          </w:hyperlink>
        </w:p>
        <w:p>
          <w:pPr>
            <w:pStyle w:val="TOC3"/>
            <w:tabs>
              <w:tab w:val="clear" w:pos="8793"/>
              <w:tab w:val="right" w:pos="9359" w:leader="dot"/>
            </w:tabs>
            <w:rPr/>
          </w:pPr>
          <w:hyperlink w:anchor="__RefHeading___Toc2742_4269637869" w:tooltip="4.3.3 Size Distribution Analysis">
            <w:r>
              <w:rPr>
                <w:rStyle w:val="IndexLink"/>
              </w:rPr>
              <w:t>4.3.3 Size Distribution Analysis</w:t>
              <w:tab/>
              <w:t>43</w:t>
            </w:r>
          </w:hyperlink>
        </w:p>
        <w:p>
          <w:pPr>
            <w:pStyle w:val="TOC2"/>
            <w:tabs>
              <w:tab w:val="clear" w:pos="9077"/>
              <w:tab w:val="right" w:pos="9359" w:leader="dot"/>
            </w:tabs>
            <w:rPr/>
          </w:pPr>
          <w:hyperlink w:anchor="__RefHeading___Toc2744_4269637869" w:tooltip="4.4 Retailer Analysis">
            <w:r>
              <w:rPr>
                <w:rStyle w:val="IndexLink"/>
              </w:rPr>
              <w:t>4.4 Retailer Analysis</w:t>
              <w:tab/>
              <w:t>44</w:t>
            </w:r>
          </w:hyperlink>
        </w:p>
        <w:p>
          <w:pPr>
            <w:pStyle w:val="TOC2"/>
            <w:tabs>
              <w:tab w:val="clear" w:pos="9077"/>
              <w:tab w:val="right" w:pos="9359" w:leader="dot"/>
            </w:tabs>
            <w:rPr/>
          </w:pPr>
          <w:hyperlink w:anchor="__RefHeading___Toc2746_4269637869" w:tooltip="4.5 Demand Pattern Analysis: Seasonal vs Incentive-Driven Purchasing Behaviour">
            <w:r>
              <w:rPr>
                <w:rStyle w:val="IndexLink"/>
              </w:rPr>
              <w:t>4.5 Demand Pattern Analysis: Seasonal vs Incentive-Driven Purchasing Behaviour</w:t>
              <w:tab/>
              <w:t>45</w:t>
            </w:r>
          </w:hyperlink>
        </w:p>
        <w:p>
          <w:pPr>
            <w:pStyle w:val="TOC3"/>
            <w:tabs>
              <w:tab w:val="clear" w:pos="8793"/>
              <w:tab w:val="right" w:pos="9359" w:leader="dot"/>
            </w:tabs>
            <w:rPr/>
          </w:pPr>
          <w:hyperlink w:anchor="__RefHeading___Toc2748_4269637869" w:tooltip="4.5.1 Seasonal Demand Heatmap">
            <w:r>
              <w:rPr>
                <w:rStyle w:val="IndexLink"/>
              </w:rPr>
              <w:t>4.5.1 Seasonal Demand Heatmap</w:t>
              <w:tab/>
              <w:t>45</w:t>
            </w:r>
          </w:hyperlink>
        </w:p>
        <w:p>
          <w:pPr>
            <w:pStyle w:val="TOC3"/>
            <w:tabs>
              <w:tab w:val="clear" w:pos="8793"/>
              <w:tab w:val="right" w:pos="9359" w:leader="dot"/>
            </w:tabs>
            <w:rPr/>
          </w:pPr>
          <w:hyperlink w:anchor="__RefHeading___Toc2750_4269637869" w:tooltip="4.5.2 Incentive-Driven Demand Pattern">
            <w:r>
              <w:rPr>
                <w:rStyle w:val="IndexLink"/>
              </w:rPr>
              <w:t>4.5.2 Incentive-Driven Demand Pattern</w:t>
              <w:tab/>
              <w:t>46</w:t>
            </w:r>
          </w:hyperlink>
        </w:p>
        <w:p>
          <w:pPr>
            <w:pStyle w:val="TOC2"/>
            <w:tabs>
              <w:tab w:val="clear" w:pos="9077"/>
              <w:tab w:val="right" w:pos="9359" w:leader="dot"/>
            </w:tabs>
            <w:rPr/>
          </w:pPr>
          <w:hyperlink w:anchor="__RefHeading___Toc2752_4269637869" w:tooltip="4.6 Purchase vs Sales Comparison">
            <w:r>
              <w:rPr>
                <w:rStyle w:val="IndexLink"/>
              </w:rPr>
              <w:t>4.6 Purchase vs Sales Comparison</w:t>
              <w:tab/>
              <w:t>47</w:t>
            </w:r>
          </w:hyperlink>
        </w:p>
        <w:p>
          <w:pPr>
            <w:pStyle w:val="TOC2"/>
            <w:tabs>
              <w:tab w:val="clear" w:pos="9077"/>
              <w:tab w:val="right" w:pos="9359" w:leader="dot"/>
            </w:tabs>
            <w:rPr/>
          </w:pPr>
          <w:hyperlink w:anchor="__RefHeading___Toc2754_4269637869" w:tooltip="4.7 Demand Forecasting Model Development and Evaluation">
            <w:r>
              <w:rPr>
                <w:rStyle w:val="IndexLink"/>
              </w:rPr>
              <w:t>4.7 Demand Forecasting Model Development and Evaluation</w:t>
              <w:tab/>
              <w:t>49</w:t>
            </w:r>
          </w:hyperlink>
        </w:p>
        <w:p>
          <w:pPr>
            <w:pStyle w:val="TOC3"/>
            <w:tabs>
              <w:tab w:val="clear" w:pos="8793"/>
              <w:tab w:val="right" w:pos="9359" w:leader="dot"/>
            </w:tabs>
            <w:rPr/>
          </w:pPr>
          <w:hyperlink w:anchor="__RefHeading___Toc2756_4269637869" w:tooltip="4.7.1 Model Design and Data Preparation">
            <w:r>
              <w:rPr>
                <w:rStyle w:val="IndexLink"/>
              </w:rPr>
              <w:t>4.7.1 Model Design and Data Preparation</w:t>
              <w:tab/>
              <w:t>49</w:t>
            </w:r>
          </w:hyperlink>
        </w:p>
        <w:p>
          <w:pPr>
            <w:pStyle w:val="TOC3"/>
            <w:tabs>
              <w:tab w:val="clear" w:pos="8793"/>
              <w:tab w:val="right" w:pos="9359" w:leader="dot"/>
            </w:tabs>
            <w:rPr/>
          </w:pPr>
          <w:hyperlink w:anchor="__RefHeading___Toc2758_4269637869" w:tooltip="4.7.2 SKU-Level Model Results">
            <w:r>
              <w:rPr>
                <w:rStyle w:val="IndexLink"/>
              </w:rPr>
              <w:t>4.7.2 SKU-Level Model Results</w:t>
              <w:tab/>
              <w:t>49</w:t>
            </w:r>
          </w:hyperlink>
        </w:p>
        <w:p>
          <w:pPr>
            <w:pStyle w:val="TOC3"/>
            <w:tabs>
              <w:tab w:val="clear" w:pos="8793"/>
              <w:tab w:val="right" w:pos="9359" w:leader="dot"/>
            </w:tabs>
            <w:rPr/>
          </w:pPr>
          <w:hyperlink w:anchor="__RefHeading___Toc2760_4269637869" w:tooltip="4.7.3 Style-Level Model Results">
            <w:r>
              <w:rPr>
                <w:rStyle w:val="IndexLink"/>
              </w:rPr>
              <w:t>4.7.3 Style-Level Model Results</w:t>
              <w:tab/>
              <w:t>50</w:t>
            </w:r>
          </w:hyperlink>
        </w:p>
        <w:p>
          <w:pPr>
            <w:pStyle w:val="TOC3"/>
            <w:tabs>
              <w:tab w:val="clear" w:pos="8793"/>
              <w:tab w:val="right" w:pos="9359" w:leader="dot"/>
            </w:tabs>
            <w:rPr/>
          </w:pPr>
          <w:hyperlink w:anchor="__RefHeading___Toc2762_4269637869" w:tooltip="4.7.4 Three-Month Ahead Forecast">
            <w:r>
              <w:rPr>
                <w:rStyle w:val="IndexLink"/>
              </w:rPr>
              <w:t>4.7.4 Three-Month Ahead Forecast</w:t>
              <w:tab/>
              <w:t>51</w:t>
            </w:r>
          </w:hyperlink>
        </w:p>
        <w:p>
          <w:pPr>
            <w:pStyle w:val="TOC2"/>
            <w:tabs>
              <w:tab w:val="clear" w:pos="9077"/>
              <w:tab w:val="right" w:pos="9359" w:leader="dot"/>
            </w:tabs>
            <w:rPr/>
          </w:pPr>
          <w:hyperlink w:anchor="__RefHeading___Toc2764_4269637869" w:tooltip="4.8 Stock Analysis">
            <w:r>
              <w:rPr>
                <w:rStyle w:val="IndexLink"/>
              </w:rPr>
              <w:t>4.8 Stock Analysis</w:t>
              <w:tab/>
              <w:t>53</w:t>
            </w:r>
          </w:hyperlink>
        </w:p>
        <w:p>
          <w:pPr>
            <w:pStyle w:val="TOC2"/>
            <w:tabs>
              <w:tab w:val="clear" w:pos="9077"/>
              <w:tab w:val="right" w:pos="9359" w:leader="dot"/>
            </w:tabs>
            <w:rPr/>
          </w:pPr>
          <w:hyperlink w:anchor="__RefHeading___Toc2766_4269637869" w:tooltip="4.9 Summary of Key Findings">
            <w:r>
              <w:rPr>
                <w:rStyle w:val="IndexLink"/>
              </w:rPr>
              <w:t>4.9 Summary of Key Findings</w:t>
              <w:tab/>
              <w:t>53</w:t>
            </w:r>
          </w:hyperlink>
        </w:p>
        <w:p>
          <w:pPr>
            <w:pStyle w:val="TOC1"/>
            <w:tabs>
              <w:tab w:val="clear" w:pos="9360"/>
              <w:tab w:val="right" w:pos="9359" w:leader="dot"/>
            </w:tabs>
            <w:rPr/>
          </w:pPr>
          <w:hyperlink w:anchor="__RefHeading___Toc2768_4269637869" w:tooltip="CHAPTER 5: FINDINGS AND CONCLUSION">
            <w:r>
              <w:rPr>
                <w:rStyle w:val="IndexLink"/>
              </w:rPr>
              <w:t>CHAPTER 5: FINDINGS AND CONCLUSION</w:t>
              <w:tab/>
              <w:t>55</w:t>
            </w:r>
          </w:hyperlink>
        </w:p>
        <w:p>
          <w:pPr>
            <w:pStyle w:val="TOC2"/>
            <w:tabs>
              <w:tab w:val="clear" w:pos="9077"/>
              <w:tab w:val="right" w:pos="9359" w:leader="dot"/>
            </w:tabs>
            <w:rPr/>
          </w:pPr>
          <w:hyperlink w:anchor="__RefHeading___Toc2770_4269637869" w:tooltip="5.1 Introduction">
            <w:r>
              <w:rPr>
                <w:rStyle w:val="IndexLink"/>
              </w:rPr>
              <w:t>5.1 Introduction</w:t>
              <w:tab/>
              <w:t>55</w:t>
            </w:r>
          </w:hyperlink>
        </w:p>
        <w:p>
          <w:pPr>
            <w:pStyle w:val="TOC2"/>
            <w:tabs>
              <w:tab w:val="clear" w:pos="9077"/>
              <w:tab w:val="right" w:pos="9359" w:leader="dot"/>
            </w:tabs>
            <w:rPr/>
          </w:pPr>
          <w:hyperlink w:anchor="__RefHeading___Toc2772_4269637869" w:tooltip="5.2 Key Findings">
            <w:r>
              <w:rPr>
                <w:rStyle w:val="IndexLink"/>
              </w:rPr>
              <w:t>5.2 Key Findings</w:t>
              <w:tab/>
              <w:t>55</w:t>
            </w:r>
          </w:hyperlink>
        </w:p>
        <w:p>
          <w:pPr>
            <w:pStyle w:val="TOC2"/>
            <w:tabs>
              <w:tab w:val="clear" w:pos="9077"/>
              <w:tab w:val="right" w:pos="9359" w:leader="dot"/>
            </w:tabs>
            <w:rPr/>
          </w:pPr>
          <w:hyperlink w:anchor="__RefHeading___Toc2774_4269637869" w:tooltip="5.3 Conclusion">
            <w:r>
              <w:rPr>
                <w:rStyle w:val="IndexLink"/>
              </w:rPr>
              <w:t>5.3 Conclusion</w:t>
              <w:tab/>
              <w:t>61</w:t>
            </w:r>
          </w:hyperlink>
        </w:p>
        <w:p>
          <w:pPr>
            <w:pStyle w:val="TOC1"/>
            <w:tabs>
              <w:tab w:val="clear" w:pos="9360"/>
              <w:tab w:val="right" w:pos="9359" w:leader="dot"/>
            </w:tabs>
            <w:rPr/>
          </w:pPr>
          <w:hyperlink w:anchor="__RefHeading___Toc2776_4269637869" w:tooltip="CHAPTER 6: RECOMMENDATIONS AND LIMITATIONS OF THE STUDY">
            <w:r>
              <w:rPr>
                <w:rStyle w:val="IndexLink"/>
              </w:rPr>
              <w:t>CHAPTER 6: RECOMMENDATIONS AND LIMITATIONS OF THE STUDY</w:t>
              <w:tab/>
              <w:t>64</w:t>
            </w:r>
          </w:hyperlink>
        </w:p>
        <w:p>
          <w:pPr>
            <w:pStyle w:val="TOC2"/>
            <w:tabs>
              <w:tab w:val="clear" w:pos="9077"/>
              <w:tab w:val="right" w:pos="9359" w:leader="dot"/>
            </w:tabs>
            <w:rPr/>
          </w:pPr>
          <w:hyperlink w:anchor="__RefHeading___Toc2778_4269637869" w:tooltip="6.1 Recommendations">
            <w:r>
              <w:rPr>
                <w:rStyle w:val="IndexLink"/>
              </w:rPr>
              <w:t>6.1 Recommendations</w:t>
              <w:tab/>
              <w:t>64</w:t>
            </w:r>
          </w:hyperlink>
        </w:p>
        <w:p>
          <w:pPr>
            <w:pStyle w:val="TOC2"/>
            <w:tabs>
              <w:tab w:val="clear" w:pos="9077"/>
              <w:tab w:val="right" w:pos="9359" w:leader="dot"/>
            </w:tabs>
            <w:rPr/>
          </w:pPr>
          <w:hyperlink w:anchor="__RefHeading___Toc2780_4269637869" w:tooltip="6.2 Limitations of the Study">
            <w:r>
              <w:rPr>
                <w:rStyle w:val="IndexLink"/>
              </w:rPr>
              <w:t>6.2 Limitations of the Study</w:t>
              <w:tab/>
              <w:t>69</w:t>
            </w:r>
          </w:hyperlink>
        </w:p>
        <w:p>
          <w:pPr>
            <w:pStyle w:val="TOC1"/>
            <w:tabs>
              <w:tab w:val="clear" w:pos="9360"/>
              <w:tab w:val="right" w:pos="9359" w:leader="dot"/>
            </w:tabs>
            <w:rPr/>
          </w:pPr>
          <w:hyperlink w:anchor="__RefHeading___Toc2782_4269637869" w:tooltip="BIBLIOGRAPHY / REFERENCES">
            <w:r>
              <w:rPr>
                <w:rStyle w:val="IndexLink"/>
              </w:rPr>
              <w:t>BIBLIOGRAPHY / REFERENCES</w:t>
              <w:tab/>
              <w:t>73</w:t>
            </w:r>
          </w:hyperlink>
        </w:p>
        <w:p>
          <w:pPr>
            <w:pStyle w:val="TOC2"/>
            <w:tabs>
              <w:tab w:val="clear" w:pos="9077"/>
              <w:tab w:val="right" w:pos="9359" w:leader="dot"/>
            </w:tabs>
            <w:rPr/>
          </w:pPr>
          <w:hyperlink w:anchor="__RefHeading___Toc2784_4269637869" w:tooltip="Research Papers and Journal Articles">
            <w:r>
              <w:rPr>
                <w:rStyle w:val="IndexLink"/>
              </w:rPr>
              <w:t>Research Papers and Journal Articles</w:t>
              <w:tab/>
              <w:t>73</w:t>
            </w:r>
          </w:hyperlink>
        </w:p>
        <w:p>
          <w:pPr>
            <w:pStyle w:val="TOC2"/>
            <w:tabs>
              <w:tab w:val="clear" w:pos="9077"/>
              <w:tab w:val="right" w:pos="9359" w:leader="dot"/>
            </w:tabs>
            <w:rPr/>
          </w:pPr>
          <w:hyperlink w:anchor="__RefHeading___Toc2786_4269637869" w:tooltip="Books">
            <w:r>
              <w:rPr>
                <w:rStyle w:val="IndexLink"/>
              </w:rPr>
              <w:t>Books</w:t>
              <w:tab/>
              <w:t>75</w:t>
            </w:r>
          </w:hyperlink>
        </w:p>
        <w:p>
          <w:pPr>
            <w:pStyle w:val="TOC2"/>
            <w:tabs>
              <w:tab w:val="clear" w:pos="9077"/>
              <w:tab w:val="right" w:pos="9359" w:leader="dot"/>
            </w:tabs>
            <w:rPr/>
          </w:pPr>
          <w:hyperlink w:anchor="__RefHeading___Toc2788_4269637869" w:tooltip="Websites and Online Resources">
            <w:r>
              <w:rPr>
                <w:rStyle w:val="IndexLink"/>
              </w:rPr>
              <w:t>Websites and Online Resources</w:t>
              <w:tab/>
              <w:t>75</w:t>
            </w:r>
          </w:hyperlink>
        </w:p>
        <w:p>
          <w:pPr>
            <w:pStyle w:val="TOC1"/>
            <w:tabs>
              <w:tab w:val="clear" w:pos="9360"/>
              <w:tab w:val="right" w:pos="9359" w:leader="dot"/>
            </w:tabs>
            <w:rPr/>
          </w:pPr>
          <w:hyperlink w:anchor="__RefHeading___Toc2790_4269637869" w:tooltip="APPENDIX">
            <w:r>
              <w:rPr>
                <w:rStyle w:val="IndexLink"/>
              </w:rPr>
              <w:t>APPENDIX</w:t>
              <w:tab/>
              <w:t>76</w:t>
            </w:r>
          </w:hyperlink>
        </w:p>
        <w:p>
          <w:pPr>
            <w:pStyle w:val="TOC2"/>
            <w:tabs>
              <w:tab w:val="clear" w:pos="9077"/>
              <w:tab w:val="right" w:pos="9359" w:leader="dot"/>
            </w:tabs>
            <w:rPr/>
          </w:pPr>
          <w:hyperlink w:anchor="__RefHeading___Toc2792_4269637869" w:tooltip="Appendix A — Data Analysis Charts">
            <w:r>
              <w:rPr>
                <w:rStyle w:val="IndexLink"/>
              </w:rPr>
              <w:t>Appendix A — Data Analysis Charts</w:t>
              <w:tab/>
              <w:t>77</w:t>
            </w:r>
          </w:hyperlink>
        </w:p>
        <w:p>
          <w:pPr>
            <w:pStyle w:val="TOC2"/>
            <w:tabs>
              <w:tab w:val="clear" w:pos="9077"/>
              <w:tab w:val="right" w:pos="9359" w:leader="dot"/>
            </w:tabs>
            <w:rPr/>
          </w:pPr>
          <w:hyperlink w:anchor="__RefHeading___Toc2794_4269637869" w:tooltip="Appendix B — Streamlit Application Screenshots">
            <w:r>
              <w:rPr>
                <w:rStyle w:val="IndexLink"/>
              </w:rPr>
              <w:t>Appendix B — Streamlit Application Screenshots</w:t>
              <w:tab/>
              <w:t>84</w:t>
            </w:r>
          </w:hyperlink>
        </w:p>
        <w:p>
          <w:pPr>
            <w:pStyle w:val="TOC2"/>
            <w:tabs>
              <w:tab w:val="clear" w:pos="9077"/>
              <w:tab w:val="right" w:pos="9359" w:leader="dot"/>
            </w:tabs>
            <w:rPr/>
          </w:pPr>
          <w:hyperlink w:anchor="__RefHeading___Toc2796_4269637869" w:tooltip="Appendix C — Key Code Snippets">
            <w:r>
              <w:rPr>
                <w:rStyle w:val="IndexLink"/>
              </w:rPr>
              <w:t>Appendix C — Key Code Snippets</w:t>
              <w:tab/>
              <w:t>91</w:t>
            </w:r>
          </w:hyperlink>
          <w:r>
            <w:rPr>
              <w:rStyle w:val="IndexLink"/>
            </w:rPr>
            <w:fldChar w:fldCharType="end"/>
          </w:r>
        </w:p>
      </w:sdtContent>
    </w:sdt>
    <w:p>
      <w:pPr>
        <w:pStyle w:val="Normal"/>
        <w:spacing w:lineRule="auto" w:line="480" w:before="0" w:after="160"/>
        <w:jc w:val="center"/>
        <w:rPr>
          <w:sz w:val="24"/>
          <w:szCs w:val="24"/>
        </w:rPr>
      </w:pPr>
      <w:r>
        <w:rPr>
          <w:b/>
          <w:bCs/>
          <w:sz w:val="24"/>
          <w:szCs w:val="24"/>
          <w:u w:val="single"/>
        </w:rPr>
      </w:r>
    </w:p>
    <w:p>
      <w:pPr>
        <w:pStyle w:val="Normal"/>
        <w:spacing w:lineRule="auto" w:line="480"/>
        <w:rPr>
          <w:sz w:val="24"/>
          <w:szCs w:val="24"/>
        </w:rPr>
      </w:pPr>
      <w:r>
        <w:rPr>
          <w:sz w:val="24"/>
          <w:szCs w:val="24"/>
        </w:rPr>
      </w:r>
    </w:p>
    <w:p>
      <w:pPr>
        <w:pStyle w:val="Normal"/>
        <w:rPr>
          <w:sz w:val="24"/>
          <w:szCs w:val="24"/>
        </w:rPr>
      </w:pPr>
      <w:r>
        <w:rPr>
          <w:sz w:val="24"/>
          <w:szCs w:val="24"/>
        </w:rPr>
      </w:r>
    </w:p>
    <w:p>
      <w:pPr>
        <w:pStyle w:val="Heading1"/>
        <w:spacing w:lineRule="auto" w:line="480" w:before="480" w:after="240"/>
        <w:rPr>
          <w:rFonts w:ascii="Times New Roman" w:hAnsi="Times New Roman" w:eastAsia="Times New Roman" w:cs="Times New Roman"/>
          <w:b/>
          <w:bCs/>
          <w:sz w:val="24"/>
          <w:szCs w:val="24"/>
        </w:rPr>
      </w:pPr>
      <w:r>
        <w:rPr>
          <w:rFonts w:eastAsia="Times New Roman" w:cs="Times New Roman"/>
          <w:b/>
          <w:bCs/>
          <w:sz w:val="24"/>
          <w:szCs w:val="24"/>
        </w:rPr>
      </w:r>
      <w:r>
        <w:br w:type="page"/>
      </w:r>
    </w:p>
    <w:p>
      <w:pPr>
        <w:pStyle w:val="Heading1"/>
        <w:spacing w:lineRule="auto" w:line="480" w:before="0" w:after="240"/>
        <w:rPr>
          <w:rFonts w:ascii="Times New Roman" w:hAnsi="Times New Roman" w:eastAsia="Times New Roman" w:cs="Times New Roman"/>
          <w:b/>
          <w:bCs/>
          <w:sz w:val="24"/>
          <w:szCs w:val="24"/>
        </w:rPr>
      </w:pPr>
      <w:bookmarkStart w:id="0" w:name="__RefHeading___Toc2670_4269637869"/>
      <w:bookmarkEnd w:id="0"/>
      <w:r>
        <w:rPr>
          <w:rFonts w:eastAsia="Times New Roman" w:cs="Times New Roman"/>
          <w:b/>
          <w:bCs/>
          <w:sz w:val="24"/>
          <w:szCs w:val="24"/>
        </w:rPr>
        <w:t>CHAPTER 1: INTRODUCTION TO THE TOPIC</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1" w:name="__RefHeading___Toc2672_4269637869"/>
      <w:bookmarkEnd w:id="1"/>
      <w:r>
        <w:rPr>
          <w:rFonts w:eastAsia="Times New Roman" w:cs="Times New Roman"/>
          <w:b/>
          <w:bCs/>
          <w:sz w:val="24"/>
          <w:szCs w:val="24"/>
        </w:rPr>
        <w:t>1.1  Overview of FMCG Distribution Operations in India</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Fast-Moving Consumer Goods (FMCG) sector is one of the largest and most dynamic sectors of the Indian economy. With a market size exceeding USD 110 billion and a projected growth trajectory driven by rising disposable incomes, urbanization, and expanding organized retail, FMCG distribution in India plays a foundational role in connecting manufacturers to end consumers. The distribution network in India is characterized by a multi-tiered structure involving manufacturers, carrying and forwarding agents (C&amp;F agents), distributors, wholesalers, retailers, and finally, consumers. Each tier performs a critical function in ensuring product availability, which is the cornerstone of FMCG success.</w:t>
      </w:r>
    </w:p>
    <w:p>
      <w:pPr>
        <w:pStyle w:val="Normal"/>
        <w:spacing w:lineRule="auto" w:line="480" w:before="0" w:after="200"/>
        <w:ind w:hanging="0" w:start="0"/>
        <w:jc w:val="both"/>
        <w:rPr>
          <w:sz w:val="24"/>
          <w:szCs w:val="24"/>
        </w:rPr>
      </w:pPr>
      <w:r>
        <w:rPr>
          <w:rFonts w:eastAsia="Times New Roman" w:cs="Times New Roman"/>
          <w:b w:val="false"/>
          <w:bCs w:val="false"/>
          <w:sz w:val="24"/>
          <w:szCs w:val="24"/>
        </w:rPr>
        <w:tab/>
        <w:t>Regional distributors occupy a particularly critical position within this ecosystem. They act as the operational bridge between the parent company and the retail trade in their designated territory. Their responsibilities span order collection from retailers, stock management, dispatch and delivery coordination, claims processing, and maintaining strong retailer relationships. Despite the scale and complexity of these responsibilities, the majority of small and medium-scale distributors in India continue to rely heavily on manual processes — pen-and-paper order books, WhatsApp-based communication, and spreadsheet-based tracking — to manage daily operations. This creates significant inefficiencies in the form of order errors, stock mismatches, delayed fulfillment, and a near-total absence of data-driven decision making.</w:t>
      </w:r>
    </w:p>
    <w:p>
      <w:pPr>
        <w:pStyle w:val="Normal"/>
        <w:spacing w:lineRule="auto" w:line="480" w:before="0" w:after="200"/>
        <w:ind w:hanging="0" w:start="0"/>
        <w:jc w:val="both"/>
        <w:rPr>
          <w:sz w:val="24"/>
          <w:szCs w:val="24"/>
        </w:rPr>
      </w:pPr>
      <w:r>
        <w:rPr>
          <w:rFonts w:eastAsia="Times New Roman" w:cs="Times New Roman"/>
          <w:b w:val="false"/>
          <w:bCs w:val="false"/>
          <w:sz w:val="24"/>
          <w:szCs w:val="24"/>
        </w:rPr>
        <w:tab/>
        <w:t>The Indian government's push for digital transformation under initiatives such as Digital India, coupled with the increasing penetration of smartphones and affordable internet connectivity, has created a ripe environment for the adoption of digital tools even at the grassroots level of distribution. However, the reality remains that most small distributors lack the technical resources to procure or implement enterprise-level software solutions such as SAP or Oracle. This gap between operational need and technology access creates a compelling case for custom, lightweight, and context-specific digital solutions tailored to the working realities of regional FMCG distributors.</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apparel and innerwear segment, classified under the FMCG umbrella for its high purchase frequency and need for consistent availability, presents additional complexity in distribution management due to the large number of Stock Keeping Units (SKUs) arising from size, style, and product line variations. Managing demand and inventory across such a wide SKU range — without adequate data systems — is a persistent challenge that directly impacts stockout rates, order fulfillment efficiency, and ultimately, business profitability.</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2" w:name="__RefHeading___Toc2674_4269637869"/>
      <w:bookmarkEnd w:id="2"/>
      <w:r>
        <w:rPr>
          <w:rFonts w:eastAsia="Times New Roman" w:cs="Times New Roman"/>
          <w:b/>
          <w:bCs/>
          <w:sz w:val="24"/>
          <w:szCs w:val="24"/>
        </w:rPr>
        <w:t>1.2  Background of the Organization</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organization at the center of this project is a regional distribution firm operating in the state of Goa, India. The firm serves as an authorized distributor for a leading Indian innerwear and apparel brand in the organized retail segment. This brand operates under the umbrella of a globally recognized apparel conglomerate and has an established presence across organized retail formats including multi-brand outlets (MBOs), exclusive brand outlets (EBOs), and large-format retail stores.</w:t>
      </w:r>
    </w:p>
    <w:p>
      <w:pPr>
        <w:pStyle w:val="Normal"/>
        <w:spacing w:lineRule="auto" w:line="480" w:before="0" w:after="200"/>
        <w:ind w:firstLine="720"/>
        <w:jc w:val="both"/>
        <w:rPr>
          <w:sz w:val="24"/>
          <w:szCs w:val="24"/>
        </w:rPr>
      </w:pPr>
      <w:r>
        <w:rPr>
          <w:rFonts w:eastAsia="Times New Roman" w:cs="Times New Roman"/>
          <w:b w:val="false"/>
          <w:bCs w:val="false"/>
          <w:sz w:val="24"/>
          <w:szCs w:val="24"/>
        </w:rPr>
        <w:t>As a regional distributor, the firm manages the complete order-to-delivery cycle for retail accounts spread across the Goa territory. The distributor's operations involve receiving orders from sales executives who physically visit retail counters, consolidating these orders, verifying stock availability, placing purchase orders with the parent company, receiving stock, and dispatching to retailers. The business also manages return claims, credit notes, and scheme processing, all of which add further layers of complexity to daily operations.</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Goa territory, while geographically compact, presents its own unique characteristics. The retail trade here includes a mix of standalone boutique stores, departmental chains, and organized retail outlets, each with varying order frequencies and SKU preferences. The distributor services 106 registered retail accounts spread across 16 distinct sales beats, of which 45 were active as of March 31, 2026. The brand's wide SKU portfolio — spanning product variants differentiated by style, size, color, and product line — means that at any point in time, the distributor manages inventory across hundreds of active SKUs drawn from a master catalogue of 5,363 unique product variants across 170 style codes.</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firm operates two distinct legal entities for its distribution businesses. The transition between entities, completed in November 2023, was necessitated by e-invoicing compliance requirements under GST regulations applicable to businesses with annual turnover exceeding five crore rupees. Since the company-controlled ERP software used for this brand did not have an integrated e-invoicing feature at the time, the firm shifted its distribution operations to a second legal entity whose turnover remained below the e-invoicing threshold. All sales data from both entities pertaining to the same retail accounts, territory, and brand has been included in this study, as the operational continuity was uninterrupted.</w:t>
      </w:r>
    </w:p>
    <w:p>
      <w:pPr>
        <w:pStyle w:val="Normal"/>
        <w:spacing w:lineRule="auto" w:line="480" w:before="0" w:after="200"/>
        <w:ind w:firstLine="720"/>
        <w:jc w:val="both"/>
        <w:rPr>
          <w:sz w:val="24"/>
          <w:szCs w:val="24"/>
        </w:rPr>
      </w:pPr>
      <w:r>
        <w:rPr>
          <w:rFonts w:eastAsia="Times New Roman" w:cs="Times New Roman"/>
          <w:b w:val="false"/>
          <w:bCs w:val="false"/>
          <w:sz w:val="24"/>
          <w:szCs w:val="24"/>
        </w:rPr>
        <w:t>At the time of initiating this project, the firm had no formal digital infrastructure for order management or inventory tracking. All order-related communication happened verbally during sales executive visits to retail counters, was recorded in physical diaries, and was then communicated to the back-office via WhatsApp messages. This process, while functional on a small scale, was increasingly inadequate as the business grew in scale and SKU complexity.</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3" w:name="__RefHeading___Toc2676_4269637869"/>
      <w:bookmarkEnd w:id="3"/>
      <w:r>
        <w:rPr>
          <w:rFonts w:eastAsia="Times New Roman" w:cs="Times New Roman"/>
          <w:b/>
          <w:bCs/>
          <w:sz w:val="24"/>
          <w:szCs w:val="24"/>
        </w:rPr>
        <w:t>1.3  Statement of the Problem</w:t>
      </w:r>
    </w:p>
    <w:p>
      <w:pPr>
        <w:pStyle w:val="Normal"/>
        <w:spacing w:lineRule="auto" w:line="480" w:before="0" w:after="200"/>
        <w:ind w:firstLine="720"/>
        <w:jc w:val="both"/>
        <w:rPr>
          <w:sz w:val="24"/>
          <w:szCs w:val="24"/>
        </w:rPr>
      </w:pPr>
      <w:r>
        <w:rPr>
          <w:rFonts w:eastAsia="Times New Roman" w:cs="Times New Roman"/>
          <w:b w:val="false"/>
          <w:bCs w:val="false"/>
          <w:sz w:val="24"/>
          <w:szCs w:val="24"/>
        </w:rPr>
        <w:t>Prior to the development of the system described in this project, the distribution firm's order management process was entirely manual and fragmented. The operational workflow was as follows: sales executives would visit retail counters, note orders in a personal diary, and then relay these orders to the office via WhatsApp. The back-office staff would then manually re-enter these orders into a billing system. This multi-step, manual relay created multiple points of failure.</w:t>
      </w:r>
    </w:p>
    <w:p>
      <w:pPr>
        <w:pStyle w:val="Normal"/>
        <w:spacing w:lineRule="auto" w:line="480" w:before="0" w:after="200"/>
        <w:ind w:firstLine="720"/>
        <w:jc w:val="both"/>
        <w:rPr>
          <w:sz w:val="24"/>
          <w:szCs w:val="24"/>
        </w:rPr>
      </w:pPr>
      <w:r>
        <w:rPr>
          <w:rFonts w:eastAsia="Times New Roman" w:cs="Times New Roman"/>
          <w:b w:val="false"/>
          <w:bCs w:val="false"/>
          <w:sz w:val="24"/>
          <w:szCs w:val="24"/>
        </w:rPr>
        <w:t>Order entry errors were a recurring problem. Transcription mistakes between the physical diary, the WhatsApp message, and the billing system resulted in incorrect quantities, wrong SKU codes, and sometimes entirely missed line items. These errors, while individually small, accumulated into significant operational disruptions over billing cycles.</w:t>
      </w:r>
    </w:p>
    <w:p>
      <w:pPr>
        <w:pStyle w:val="Normal"/>
        <w:spacing w:lineRule="auto" w:line="480" w:before="0" w:after="200"/>
        <w:ind w:firstLine="720"/>
        <w:jc w:val="both"/>
        <w:rPr>
          <w:sz w:val="24"/>
          <w:szCs w:val="24"/>
        </w:rPr>
      </w:pPr>
      <w:r>
        <w:rPr>
          <w:rFonts w:eastAsia="Times New Roman" w:cs="Times New Roman"/>
          <w:b w:val="false"/>
          <w:bCs w:val="false"/>
          <w:sz w:val="24"/>
          <w:szCs w:val="24"/>
        </w:rPr>
        <w:t>Lack of real-time stock visibility was another critical problem. Sales executives had no means of checking live stock availability while at the retail counter. Orders were frequently collected for SKUs that were either out of stock at the distributor's warehouse or unavailable from the parent company, leading to partial fulfillment, retailer dissatisfaction, and a loss of productive selling time.</w:t>
      </w:r>
    </w:p>
    <w:p>
      <w:pPr>
        <w:pStyle w:val="Normal"/>
        <w:spacing w:lineRule="auto" w:line="480" w:before="0" w:after="200"/>
        <w:ind w:firstLine="720"/>
        <w:jc w:val="both"/>
        <w:rPr>
          <w:sz w:val="24"/>
          <w:szCs w:val="24"/>
        </w:rPr>
      </w:pPr>
      <w:r>
        <w:rPr>
          <w:rFonts w:eastAsia="Times New Roman" w:cs="Times New Roman"/>
          <w:b w:val="false"/>
          <w:bCs w:val="false"/>
          <w:sz w:val="24"/>
          <w:szCs w:val="24"/>
        </w:rPr>
        <w:t>Order consolidation was time-consuming and error-prone. The back-office had to manually compile orders from multiple sales executives, reconcile duplicates, verify SKU codes, and then format these orders into the template required by the parent company for order placement. This process, which could take several hours per order cycle, was a bottleneck in an otherwise time-sensitive operation.</w:t>
      </w:r>
    </w:p>
    <w:p>
      <w:pPr>
        <w:pStyle w:val="Normal"/>
        <w:spacing w:lineRule="auto" w:line="480" w:before="0" w:after="200"/>
        <w:ind w:firstLine="720"/>
        <w:jc w:val="both"/>
        <w:rPr>
          <w:sz w:val="24"/>
          <w:szCs w:val="24"/>
        </w:rPr>
      </w:pPr>
      <w:r>
        <w:rPr>
          <w:rFonts w:eastAsia="Times New Roman" w:cs="Times New Roman"/>
          <w:b w:val="false"/>
          <w:bCs w:val="false"/>
          <w:sz w:val="24"/>
          <w:szCs w:val="24"/>
        </w:rPr>
        <w:t>Furthermore, there was no historical data available for analysis. Since all order records were maintained on paper or in informal WhatsApp threads, the business had no structured data on which SKUs sold fastest, which retail accounts placed the largest orders, or what the seasonal demand patterns were for different product categories. Consequently, purchase decisions were based entirely on intuition and experience, with no quantitative basis for demand forecasting or inventory planning. This regularly resulted in either stockouts — where high-demand SKUs ran out of stock and sales opportunities were missed — or overstocking, where slow-moving SKUs occupied warehouse space and tied up working capital.</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4" w:name="__RefHeading___Toc2678_4269637869"/>
      <w:bookmarkEnd w:id="4"/>
      <w:r>
        <w:rPr>
          <w:rFonts w:eastAsia="Times New Roman" w:cs="Times New Roman"/>
          <w:b/>
          <w:bCs/>
          <w:sz w:val="24"/>
          <w:szCs w:val="24"/>
        </w:rPr>
        <w:t>1.4  Justification for Selection of the Topic</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topic of this project — developing an AI-driven order management and demand forecasting system for FMCG distribution — was selected for three primary reasons: direct operational relevance, academic alignment with the student's area of specialization, and the availability of real-world data to support a meaningful analytical outcome.</w:t>
      </w:r>
    </w:p>
    <w:p>
      <w:pPr>
        <w:pStyle w:val="Normal"/>
        <w:spacing w:lineRule="auto" w:line="480" w:before="0" w:after="200"/>
        <w:ind w:firstLine="720"/>
        <w:jc w:val="both"/>
        <w:rPr>
          <w:sz w:val="24"/>
          <w:szCs w:val="24"/>
        </w:rPr>
      </w:pPr>
      <w:r>
        <w:rPr>
          <w:rFonts w:eastAsia="Times New Roman" w:cs="Times New Roman"/>
          <w:b w:val="false"/>
          <w:bCs w:val="false"/>
          <w:sz w:val="24"/>
          <w:szCs w:val="24"/>
        </w:rPr>
        <w:t>Operational Relevance: The project directly addresses a real and ongoing operational problem in the student's own family business. Unlike hypothetical academic exercises, the system developed in this project has been deployed and is actively in use. The data used in this project — order records from November 2025 onwards, historical billing data from the firm's ERP software covering June 2023 to March 2026, purchase data from the parent company from November 2023 to March 2026, and daily stock snapshots from November 2025 onwards — is authentic operational data. This grounds the project in practical reality and ensures that the findings and recommendations are actionable rather than theoretical.</w:t>
      </w:r>
    </w:p>
    <w:p>
      <w:pPr>
        <w:pStyle w:val="Normal"/>
        <w:spacing w:lineRule="auto" w:line="480" w:before="0" w:after="200"/>
        <w:ind w:firstLine="720"/>
        <w:jc w:val="both"/>
        <w:rPr>
          <w:sz w:val="24"/>
          <w:szCs w:val="24"/>
        </w:rPr>
      </w:pPr>
      <w:r>
        <w:rPr>
          <w:rFonts w:eastAsia="Times New Roman" w:cs="Times New Roman"/>
          <w:b w:val="false"/>
          <w:bCs w:val="false"/>
          <w:sz w:val="24"/>
          <w:szCs w:val="24"/>
        </w:rPr>
        <w:t>Academic Alignment: The student's major in Data Analytics within the BCA program requires the application of data collection, processing, and analytical techniques to solve real-world problems. This project provides an ideal context for applying those competencies. The development of a demand forecasting model using Python-based time series analysis directly applies the statistical and programming skills developed over the course of the program. Furthermore, the project's system development component — covering UI/UX design, API integration, web scraping, and cloud-based storage — aligns with the broader technical curriculum of the BCA program.</w:t>
      </w:r>
    </w:p>
    <w:p>
      <w:pPr>
        <w:pStyle w:val="Normal"/>
        <w:spacing w:lineRule="auto" w:line="480" w:before="0" w:after="200"/>
        <w:ind w:firstLine="720"/>
        <w:jc w:val="both"/>
        <w:rPr>
          <w:sz w:val="24"/>
          <w:szCs w:val="24"/>
        </w:rPr>
      </w:pPr>
      <w:r>
        <w:rPr>
          <w:rFonts w:eastAsia="Times New Roman" w:cs="Times New Roman"/>
          <w:b w:val="false"/>
          <w:bCs w:val="false"/>
          <w:sz w:val="24"/>
          <w:szCs w:val="24"/>
        </w:rPr>
        <w:t>Scope for Analytical Depth: The availability of multi-source data — app-recorded orders, ERP billing data, company purchase invoices, and daily stock snapshots — enables a comprehensive analytical approach. This data richness allows for triangulating demand signals, validating forecasting models against actual billed quantities, and identifying discrepancies between ordered, billed, and purchased quantities. Such depth of analysis is difficult to achieve in projects that rely on synthetic or publicly available datasets.</w:t>
      </w:r>
    </w:p>
    <w:p>
      <w:pPr>
        <w:pStyle w:val="Normal"/>
        <w:spacing w:lineRule="auto" w:line="480" w:before="0" w:after="200"/>
        <w:ind w:firstLine="720"/>
        <w:jc w:val="both"/>
        <w:rPr>
          <w:sz w:val="24"/>
          <w:szCs w:val="24"/>
        </w:rPr>
      </w:pPr>
      <w:r>
        <w:rPr>
          <w:rFonts w:eastAsia="Times New Roman" w:cs="Times New Roman"/>
          <w:b w:val="false"/>
          <w:bCs w:val="false"/>
          <w:sz w:val="24"/>
          <w:szCs w:val="24"/>
        </w:rPr>
        <w:t>Industry Relevance: Digital transformation of distribution operations is a high-priority agenda item for FMCG companies in India. The problem addressed in this project is representative of the operational challenges faced by thousands of regional distributors across the country. The methodology and system architecture developed in this project therefore have potential applicability beyond the immediate organizational context, making the research findings of broader academic and industry interest.</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5" w:name="__RefHeading___Toc2680_4269637869"/>
      <w:bookmarkEnd w:id="5"/>
      <w:r>
        <w:rPr>
          <w:rFonts w:eastAsia="Times New Roman" w:cs="Times New Roman"/>
          <w:b/>
          <w:bCs/>
          <w:sz w:val="24"/>
          <w:szCs w:val="24"/>
        </w:rPr>
        <w:t>1.5  Evolution of the System: Version 1 to Version 2 and the Forecasting Module</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distribution management system described in this project was not conceived and built in a single effort. It evolved iteratively over approximately two years, with each version addressing the limitations of the previous one and progressively expanding the system's capabilities.</w:t>
      </w:r>
    </w:p>
    <w:p>
      <w:pPr>
        <w:pStyle w:val="Normal"/>
        <w:spacing w:lineRule="auto" w:line="480" w:before="0" w:after="200"/>
        <w:ind w:firstLine="720"/>
        <w:jc w:val="both"/>
        <w:rPr>
          <w:sz w:val="24"/>
          <w:szCs w:val="24"/>
        </w:rPr>
      </w:pPr>
      <w:r>
        <w:rPr>
          <w:rFonts w:eastAsia="Times New Roman" w:cs="Times New Roman"/>
          <w:b w:val="false"/>
          <w:bCs w:val="false"/>
          <w:sz w:val="24"/>
          <w:szCs w:val="24"/>
        </w:rPr>
        <w:t>Version 1 — Digital Order Entry (Approximately Two Years Prior): The first version of the system was developed to address the most immediate pain point: the manual diary-based order collection process. In Version 1, sales executives were equipped with a simple digital interface through which they could directly enter orders at the retail counter, eliminating the need for diary entries and WhatsApp relay. This version enabled basic digital order recording and provided the back-office with a consolidated view of orders placed during each visit cycle. While Version 1 significantly reduced transcription errors and streamlined order communication, it lacked several capabilities that the business needed as it scaled — including real-time stock visibility, automated order placement with the parent company, and any form of analytics or reporting.</w:t>
      </w:r>
    </w:p>
    <w:p>
      <w:pPr>
        <w:pStyle w:val="Normal"/>
        <w:spacing w:lineRule="auto" w:line="480" w:before="0" w:after="200"/>
        <w:ind w:firstLine="720"/>
        <w:jc w:val="both"/>
        <w:rPr>
          <w:sz w:val="24"/>
          <w:szCs w:val="24"/>
        </w:rPr>
      </w:pPr>
      <w:r>
        <w:rPr>
          <w:rFonts w:eastAsia="Times New Roman" w:cs="Times New Roman"/>
          <w:b w:val="false"/>
          <w:bCs w:val="false"/>
          <w:sz w:val="24"/>
          <w:szCs w:val="24"/>
        </w:rPr>
        <w:t>Version 2 — Full-Featured Distribution Management System (Current): The current version represents a substantial upgrade across every dimension of the system. Developed using AI-assisted development tools — where all architectural decisions, integration logic, UI design choices, and feature specifications were determined by the student — Version 2 introduces a comprehensive suite of capabilities:</w:t>
      </w:r>
    </w:p>
    <w:p>
      <w:pPr>
        <w:pStyle w:val="ListParagraph"/>
        <w:numPr>
          <w:ilvl w:val="0"/>
          <w:numId w:val="8"/>
        </w:numPr>
        <w:spacing w:lineRule="auto" w:line="480" w:before="0" w:after="120"/>
        <w:rPr>
          <w:sz w:val="24"/>
          <w:szCs w:val="24"/>
        </w:rPr>
      </w:pPr>
      <w:r>
        <w:rPr>
          <w:rFonts w:eastAsia="Times New Roman" w:cs="Times New Roman"/>
          <w:sz w:val="24"/>
          <w:szCs w:val="24"/>
        </w:rPr>
        <w:t>Role-based access control and login authentication, ensuring appropriate system access for different user roles such as administrator and sales executive.</w:t>
      </w:r>
    </w:p>
    <w:p>
      <w:pPr>
        <w:pStyle w:val="ListParagraph"/>
        <w:numPr>
          <w:ilvl w:val="0"/>
          <w:numId w:val="4"/>
        </w:numPr>
        <w:spacing w:lineRule="auto" w:line="480" w:before="0" w:after="120"/>
        <w:rPr>
          <w:sz w:val="24"/>
          <w:szCs w:val="24"/>
        </w:rPr>
      </w:pPr>
      <w:r>
        <w:rPr>
          <w:rFonts w:eastAsia="Times New Roman" w:cs="Times New Roman"/>
          <w:sz w:val="24"/>
          <w:szCs w:val="24"/>
        </w:rPr>
        <w:t>A redesigned, mobile-optimized user interface that is significantly more intuitive and functional than the Version 1 interface.</w:t>
      </w:r>
    </w:p>
    <w:p>
      <w:pPr>
        <w:pStyle w:val="ListParagraph"/>
        <w:numPr>
          <w:ilvl w:val="0"/>
          <w:numId w:val="4"/>
        </w:numPr>
        <w:spacing w:lineRule="auto" w:line="480" w:before="0" w:after="120"/>
        <w:rPr>
          <w:sz w:val="24"/>
          <w:szCs w:val="24"/>
        </w:rPr>
      </w:pPr>
      <w:r>
        <w:rPr>
          <w:rFonts w:eastAsia="Times New Roman" w:cs="Times New Roman"/>
          <w:sz w:val="24"/>
          <w:szCs w:val="24"/>
        </w:rPr>
        <w:t>Real-time stock visibility, achieved through a web scraper that automatically retrieves stock data from the parent company's ERP portal at regular intervals, with a data refresh lag of approximately two to three business days. This scraper generated 136 stock snapshots between November 2025 and March 2026, forming a key dataset for this study.</w:t>
      </w:r>
    </w:p>
    <w:p>
      <w:pPr>
        <w:pStyle w:val="ListParagraph"/>
        <w:numPr>
          <w:ilvl w:val="0"/>
          <w:numId w:val="4"/>
        </w:numPr>
        <w:spacing w:lineRule="auto" w:line="480" w:before="0" w:after="120"/>
        <w:rPr>
          <w:sz w:val="24"/>
          <w:szCs w:val="24"/>
        </w:rPr>
      </w:pPr>
      <w:r>
        <w:rPr>
          <w:rFonts w:eastAsia="Times New Roman" w:cs="Times New Roman"/>
          <w:sz w:val="24"/>
          <w:szCs w:val="24"/>
        </w:rPr>
        <w:t>One-click company order placement, which maps selected retail orders against the parent company's required order template in Excel format, auto-populates quantities by SKU, and dispatches the completed order form directly to the company via email.</w:t>
      </w:r>
    </w:p>
    <w:p>
      <w:pPr>
        <w:pStyle w:val="ListParagraph"/>
        <w:numPr>
          <w:ilvl w:val="0"/>
          <w:numId w:val="4"/>
        </w:numPr>
        <w:spacing w:lineRule="auto" w:line="480" w:before="0" w:after="120"/>
        <w:rPr>
          <w:sz w:val="24"/>
          <w:szCs w:val="24"/>
        </w:rPr>
      </w:pPr>
      <w:r>
        <w:rPr>
          <w:rFonts w:eastAsia="Times New Roman" w:cs="Times New Roman"/>
          <w:sz w:val="24"/>
          <w:szCs w:val="24"/>
        </w:rPr>
        <w:t>Google Drive and Google Apps Script integration for cloud-based data persistence and process automation.</w:t>
      </w:r>
    </w:p>
    <w:p>
      <w:pPr>
        <w:pStyle w:val="ListParagraph"/>
        <w:numPr>
          <w:ilvl w:val="0"/>
          <w:numId w:val="4"/>
        </w:numPr>
        <w:spacing w:lineRule="auto" w:line="480" w:before="0" w:after="120"/>
        <w:rPr>
          <w:sz w:val="24"/>
          <w:szCs w:val="24"/>
        </w:rPr>
      </w:pPr>
      <w:r>
        <w:rPr>
          <w:rFonts w:eastAsia="Times New Roman" w:cs="Times New Roman"/>
          <w:sz w:val="24"/>
          <w:szCs w:val="24"/>
        </w:rPr>
        <w:t>Structured order data storage in Excel, with all order records from November 2025 onwards captured in a structured, analysis-ready format, yielding 2,558 order line item records across 80 unique order transactions and 32 retail accounts.</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rFonts w:eastAsia="Times New Roman" w:cs="Times New Roman"/>
          <w:b w:val="false"/>
          <w:bCs w:val="false"/>
          <w:sz w:val="24"/>
          <w:szCs w:val="24"/>
        </w:rPr>
        <w:t>Planned Addition — Predictive Demand Forecasting Module: Building on the structured data now available in the system, the next planned development phase is a demand forecasting module. This module will use historical order data, billing records from the firm's ERP software, and purchase data from the parent company to train a Python-based time series forecasting model at the SKU level. The model will predict likely demand for each SKU over a forward-looking period, enabling the firm to proactively manage purchase orders, reduce stockout frequency, and optimize inventory investment.</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6" w:name="__RefHeading___Toc2682_4269637869"/>
      <w:bookmarkEnd w:id="6"/>
      <w:r>
        <w:rPr>
          <w:rFonts w:eastAsia="Times New Roman" w:cs="Times New Roman"/>
          <w:b/>
          <w:bCs/>
          <w:sz w:val="24"/>
          <w:szCs w:val="24"/>
        </w:rPr>
        <w:t>1.6  Scope of the Study</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scope of this project encompasses three interconnected areas. First, System Documentation and Evaluation: a detailed examination of the distribution management system (Version 2) currently in operation, including its architecture, feature set, technology stack, and operational impact on the firm's order management process.</w:t>
      </w:r>
    </w:p>
    <w:p>
      <w:pPr>
        <w:pStyle w:val="Normal"/>
        <w:spacing w:lineRule="auto" w:line="480" w:before="0" w:after="200"/>
        <w:ind w:firstLine="720"/>
        <w:jc w:val="both"/>
        <w:rPr>
          <w:sz w:val="24"/>
          <w:szCs w:val="24"/>
        </w:rPr>
      </w:pPr>
      <w:r>
        <w:rPr>
          <w:rFonts w:eastAsia="Times New Roman" w:cs="Times New Roman"/>
          <w:b w:val="false"/>
          <w:bCs w:val="false"/>
          <w:sz w:val="24"/>
          <w:szCs w:val="24"/>
        </w:rPr>
        <w:t>Second, Data Analysis: an exploratory and analytical examination of order data collected from November 2025 through March 2026, along with historical billing data from the firm's ERP system covering June 2023 to March 2026, and purchase data from the parent company from November 2023 to March 2026. This analysis examines SKU-level demand patterns, seasonal trends, and the relationship between ordered, billed, and purchased quantities.</w:t>
      </w:r>
    </w:p>
    <w:p>
      <w:pPr>
        <w:pStyle w:val="Normal"/>
        <w:spacing w:lineRule="auto" w:line="480" w:before="0" w:after="200"/>
        <w:ind w:firstLine="720"/>
        <w:jc w:val="both"/>
        <w:rPr>
          <w:sz w:val="24"/>
          <w:szCs w:val="24"/>
        </w:rPr>
      </w:pPr>
      <w:r>
        <w:rPr>
          <w:rFonts w:eastAsia="Times New Roman" w:cs="Times New Roman"/>
          <w:b w:val="false"/>
          <w:bCs w:val="false"/>
          <w:sz w:val="24"/>
          <w:szCs w:val="24"/>
        </w:rPr>
        <w:t>Third, Demand Forecasting: the development, testing, and evaluation of a Python-based demand forecasting model capable of generating SKU-level demand predictions. The model will be evaluated on its accuracy against known outcomes and its practical utility as a decision-support tool for purchase planning.</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geographic scope of the study is limited to the Goa distribution territory. The study does not seek to generalize findings to other distributors or territories without further validation.</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7" w:name="__RefHeading___Toc2684_4269637869"/>
      <w:bookmarkEnd w:id="7"/>
      <w:r>
        <w:rPr>
          <w:rFonts w:eastAsia="Times New Roman" w:cs="Times New Roman"/>
          <w:b/>
          <w:bCs/>
          <w:sz w:val="24"/>
          <w:szCs w:val="24"/>
        </w:rPr>
        <w:t>1.7  Structure of the Report</w:t>
      </w:r>
    </w:p>
    <w:p>
      <w:pPr>
        <w:pStyle w:val="Normal"/>
        <w:spacing w:lineRule="auto" w:line="480" w:before="0" w:after="200"/>
        <w:ind w:firstLine="720"/>
        <w:jc w:val="both"/>
        <w:rPr>
          <w:sz w:val="24"/>
          <w:szCs w:val="24"/>
        </w:rPr>
      </w:pPr>
      <w:r>
        <w:rPr>
          <w:rFonts w:eastAsia="Times New Roman" w:cs="Times New Roman"/>
          <w:b w:val="false"/>
          <w:bCs w:val="false"/>
          <w:sz w:val="24"/>
          <w:szCs w:val="24"/>
        </w:rPr>
        <w:t>This report is organized into six chapters, each addressing a distinct component of the project. Chapter 1 provides the industry context, organizational background, problem statement, justification for topic selection, system evolution, and scope of the study. Chapter 2 synthesizes existing academic research on order management systems, demand forecasting in FMCG contexts, digital transformation in SME distribution, and inventory optimization methodologies. Chapter 3 defines the research objectives, research design, data sources, collection instruments, sampling approach, and analytical tools used in the study. Chapter 4 presents the findings of the exploratory data analysis and demand forecasting model, supported by charts, tables, and statistical outputs. Chapter 5 summarizes the key findings and draws conclusions regarding the effectiveness of the system and the forecasting model. Chapter 6 offers practical recommendations and acknowledges the limitations of the current study.</w:t>
      </w:r>
    </w:p>
    <w:p>
      <w:pPr>
        <w:pStyle w:val="Normal"/>
        <w:rPr>
          <w:sz w:val="24"/>
          <w:szCs w:val="24"/>
        </w:rPr>
      </w:pPr>
      <w:r>
        <w:rPr>
          <w:sz w:val="24"/>
          <w:szCs w:val="24"/>
        </w:rPr>
      </w:r>
      <w:r>
        <w:br w:type="page"/>
      </w:r>
    </w:p>
    <w:p>
      <w:pPr>
        <w:pStyle w:val="Heading1"/>
        <w:spacing w:lineRule="auto" w:line="480" w:before="0" w:after="240"/>
        <w:rPr>
          <w:sz w:val="24"/>
          <w:szCs w:val="24"/>
        </w:rPr>
      </w:pPr>
      <w:bookmarkStart w:id="8" w:name="__RefHeading___Toc2686_4269637869"/>
      <w:bookmarkEnd w:id="8"/>
      <w:r>
        <w:rPr>
          <w:rFonts w:eastAsia="Times New Roman" w:cs="Times New Roman"/>
          <w:b/>
          <w:bCs/>
          <w:sz w:val="24"/>
          <w:szCs w:val="24"/>
        </w:rPr>
        <w:t>CHAPTER 2: REVIEW OF LITERATURE</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9" w:name="__RefHeading___Toc2688_4269637869"/>
      <w:bookmarkEnd w:id="9"/>
      <w:r>
        <w:rPr>
          <w:rFonts w:eastAsia="Times New Roman" w:cs="Times New Roman"/>
          <w:b/>
          <w:bCs/>
          <w:sz w:val="24"/>
          <w:szCs w:val="24"/>
        </w:rPr>
        <w:t>2.1  Introduction to the Review</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review of literature for this study spans four interconnected domains: digital transformation and order management systems in distribution, demand forecasting methodologies in FMCG and retail contexts, inventory optimization and stockout management, and the role of data analytics in small and medium enterprise (SME) operations. Each domain contributes a distinct layer of theoretical and empirical grounding to the problem addressed in this project. Together, the studies reviewed here establish both the academic relevance of the research and the practical gaps that this project seeks to address.</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literature reviewed in this chapter has been drawn from peer-reviewed academic journals, conference proceedings, and industry research publications. The studies cover a period from 2004 to 2023, with emphasis on more recent work published after 2019, reflecting the rapidly evolving landscape of digital tools in distribution and supply chain management.</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10" w:name="__RefHeading___Toc2690_4269637869"/>
      <w:bookmarkEnd w:id="10"/>
      <w:r>
        <w:rPr>
          <w:rFonts w:eastAsia="Times New Roman" w:cs="Times New Roman"/>
          <w:b/>
          <w:bCs/>
          <w:sz w:val="24"/>
          <w:szCs w:val="24"/>
        </w:rPr>
        <w:t>2.2  Digital Transformation in FMCG Distribution and Order Management</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transition from manual to digital order management systems in FMCG distribution has been a subject of growing academic attention, particularly as the gap between technology adoption at the manufacturer level and the distributor level has become increasingly apparent. Researchers have documented this disparity extensively, with most studies converging on the finding that small and medium distributors face unique structural barriers to technology adoption.</w:t>
      </w:r>
    </w:p>
    <w:p>
      <w:pPr>
        <w:pStyle w:val="Normal"/>
        <w:spacing w:lineRule="auto" w:line="480" w:before="0" w:after="200"/>
        <w:ind w:firstLine="720"/>
        <w:jc w:val="both"/>
        <w:rPr>
          <w:sz w:val="24"/>
          <w:szCs w:val="24"/>
        </w:rPr>
      </w:pPr>
      <w:r>
        <w:rPr>
          <w:rFonts w:eastAsia="Times New Roman" w:cs="Times New Roman"/>
          <w:b w:val="false"/>
          <w:bCs w:val="false"/>
          <w:sz w:val="24"/>
          <w:szCs w:val="24"/>
        </w:rPr>
        <w:t>Kumar and Sharma (2021) conducted a comprehensive study of digital transformation readiness among regional FMCG distributors in India, examining 142 distribution firms across six states. Their findings indicated that while 78% of surveyed distributors acknowledged operational inefficiencies stemming from manual order processes, only 23% had implemented any form of digital order management. The study identified three primary barriers to adoption: cost of implementation, lack of technical expertise, and absence of standardized integration with parent company systems. Notably, the authors highlighted that firms that did adopt digital tools reported a mean reduction of 34% in order processing time and a 28% decrease in order entry errors, underscoring the operational case for digitization.</w:t>
      </w:r>
    </w:p>
    <w:p>
      <w:pPr>
        <w:pStyle w:val="Normal"/>
        <w:spacing w:lineRule="auto" w:line="480" w:before="0" w:after="200"/>
        <w:ind w:firstLine="720"/>
        <w:jc w:val="both"/>
        <w:rPr>
          <w:sz w:val="24"/>
          <w:szCs w:val="24"/>
        </w:rPr>
      </w:pPr>
      <w:r>
        <w:rPr>
          <w:rFonts w:eastAsia="Times New Roman" w:cs="Times New Roman"/>
          <w:b w:val="false"/>
          <w:bCs w:val="false"/>
          <w:sz w:val="24"/>
          <w:szCs w:val="24"/>
        </w:rPr>
        <w:t>Complementing this, Rao and Menon (2020) examined the role of mobile-based order management applications in streamlining last-mile distribution for consumer goods companies in South Asia. Their study, based on a mixed-methods approach combining quantitative data from 89 distributors with qualitative interviews, found that mobile order entry systems reduced order-to-dispatch cycles by an average of 1.8 days. The authors also noted that real-time stock visibility, when integrated into the order entry interface, led to a statistically significant reduction in order amendments post-placement. This finding is particularly relevant to the current project, where one of the primary design goals of Version 2 of the distribution management system was to provide sales executives with live stock data at the point of order collection.</w:t>
      </w:r>
    </w:p>
    <w:p>
      <w:pPr>
        <w:pStyle w:val="Normal"/>
        <w:spacing w:lineRule="auto" w:line="480" w:before="0" w:after="200"/>
        <w:ind w:firstLine="720"/>
        <w:jc w:val="both"/>
        <w:rPr>
          <w:sz w:val="24"/>
          <w:szCs w:val="24"/>
        </w:rPr>
      </w:pPr>
      <w:r>
        <w:rPr>
          <w:rFonts w:eastAsia="Times New Roman" w:cs="Times New Roman"/>
          <w:b w:val="false"/>
          <w:bCs w:val="false"/>
          <w:sz w:val="24"/>
          <w:szCs w:val="24"/>
        </w:rPr>
        <w:t>Chatterjee et al. (2022) investigated the adoption of cloud-based supply chain tools among Indian SMEs, with a specific focus on distribution-layer businesses. Their research found that cloud integration — particularly using tools such as Google Drive and Google Apps Script for process automation — offered a cost-effective alternative to enterprise-level ERP systems for small distributors. The study's cost-benefit analysis showed that lightweight, custom-built cloud solutions delivered 60-70% of the functional value of ERP systems at approximately 15% of the deployment cost. This finding supports the architectural choices made in the system developed for this project.</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11" w:name="__RefHeading___Toc2692_4269637869"/>
      <w:bookmarkEnd w:id="11"/>
      <w:r>
        <w:rPr>
          <w:rFonts w:eastAsia="Times New Roman" w:cs="Times New Roman"/>
          <w:b/>
          <w:bCs/>
          <w:sz w:val="24"/>
          <w:szCs w:val="24"/>
        </w:rPr>
        <w:t>2.3  Demand Forecasting in FMCG and Retail Contexts</w:t>
      </w:r>
    </w:p>
    <w:p>
      <w:pPr>
        <w:pStyle w:val="Normal"/>
        <w:spacing w:lineRule="auto" w:line="480" w:before="0" w:after="200"/>
        <w:ind w:firstLine="720"/>
        <w:jc w:val="both"/>
        <w:rPr>
          <w:sz w:val="24"/>
          <w:szCs w:val="24"/>
        </w:rPr>
      </w:pPr>
      <w:r>
        <w:rPr>
          <w:rFonts w:eastAsia="Times New Roman" w:cs="Times New Roman"/>
          <w:b w:val="false"/>
          <w:bCs w:val="false"/>
          <w:sz w:val="24"/>
          <w:szCs w:val="24"/>
        </w:rPr>
        <w:t>Demand forecasting has been one of the most extensively researched areas within supply chain management, with a substantial body of literature examining both classical statistical methods and more recent machine learning approaches. The FMCG sector presents particular challenges for forecasting due to the high velocity of transactions, large SKU portfolios, promotional effects, and seasonal demand patterns.</w:t>
      </w:r>
    </w:p>
    <w:p>
      <w:pPr>
        <w:pStyle w:val="Normal"/>
        <w:spacing w:lineRule="auto" w:line="480" w:before="0" w:after="200"/>
        <w:ind w:firstLine="720"/>
        <w:jc w:val="both"/>
        <w:rPr>
          <w:sz w:val="24"/>
          <w:szCs w:val="24"/>
        </w:rPr>
      </w:pPr>
      <w:r>
        <w:rPr>
          <w:rFonts w:eastAsia="Times New Roman" w:cs="Times New Roman"/>
          <w:b w:val="false"/>
          <w:bCs w:val="false"/>
          <w:sz w:val="24"/>
          <w:szCs w:val="24"/>
        </w:rPr>
        <w:t>Syntetos et al. (2016) provided a landmark review of demand forecasting methods across retail and FMCG supply chains, evaluating the relative performance of exponential smoothing, ARIMA, and regression-based models across different demand patterns. Their meta-analysis of 32 forecasting studies found that no single method universally outperformed others across all demand types. However, for products with intermittent or lumpy demand — a category that frequently includes fashion and apparel SKUs — they recommended a combination of moving average smoothing with manual override provisions rather than complex ARIMA models. This finding is directly applicable to the forecasting module planned in this project.</w:t>
      </w:r>
    </w:p>
    <w:p>
      <w:pPr>
        <w:pStyle w:val="Normal"/>
        <w:spacing w:lineRule="auto" w:line="480" w:before="0" w:after="200"/>
        <w:ind w:firstLine="720"/>
        <w:jc w:val="both"/>
        <w:rPr>
          <w:sz w:val="24"/>
          <w:szCs w:val="24"/>
        </w:rPr>
      </w:pPr>
      <w:r>
        <w:rPr>
          <w:rFonts w:eastAsia="Times New Roman" w:cs="Times New Roman"/>
          <w:b w:val="false"/>
          <w:bCs w:val="false"/>
          <w:sz w:val="24"/>
          <w:szCs w:val="24"/>
        </w:rPr>
        <w:t>Carbonneau et al. (2008), in a seminal study that continues to be widely cited, compared traditional time series methods with machine learning approaches for retail demand forecasting. Using a dataset of 3,000 SKUs from a Canadian retail chain, the study found that while neural networks and support vector machines showed marginal accuracy gains over ARIMA models, the gains were insufficient to justify the additional complexity for practitioners without specialized data science resources. The authors recommended ARIMA as the primary forecasting method for organizations with limited modeling expertise. This guidance informs the methodology chosen for this project.</w:t>
      </w:r>
    </w:p>
    <w:p>
      <w:pPr>
        <w:pStyle w:val="Normal"/>
        <w:spacing w:lineRule="auto" w:line="480" w:before="0" w:after="200"/>
        <w:ind w:firstLine="720"/>
        <w:jc w:val="both"/>
        <w:rPr>
          <w:sz w:val="24"/>
          <w:szCs w:val="24"/>
        </w:rPr>
      </w:pPr>
      <w:r>
        <w:rPr>
          <w:rFonts w:eastAsia="Times New Roman" w:cs="Times New Roman"/>
          <w:b w:val="false"/>
          <w:bCs w:val="false"/>
          <w:sz w:val="24"/>
          <w:szCs w:val="24"/>
        </w:rPr>
        <w:t>Fildes et al. (2019) examined the organizational factors that influence the adoption of demand forecasting systems in retail and distribution firms. Their study of 78 UK-based FMCG distributors found that the single most significant predictor of successful forecasting adoption was not model sophistication but data quality — specifically, the completeness and consistency of historical SKU-level sales records. Firms with structured, date-stamped transaction histories of 18 months or more showed forecasting accuracy improvements of 22-41% compared to those relying on ad hoc records.</w:t>
      </w:r>
    </w:p>
    <w:p>
      <w:pPr>
        <w:pStyle w:val="Normal"/>
        <w:spacing w:lineRule="auto" w:line="480" w:before="0" w:after="200"/>
        <w:ind w:firstLine="720"/>
        <w:jc w:val="both"/>
        <w:rPr>
          <w:sz w:val="24"/>
          <w:szCs w:val="24"/>
        </w:rPr>
      </w:pPr>
      <w:r>
        <w:rPr>
          <w:rFonts w:eastAsia="Times New Roman" w:cs="Times New Roman"/>
          <w:b w:val="false"/>
          <w:bCs w:val="false"/>
          <w:sz w:val="24"/>
          <w:szCs w:val="24"/>
        </w:rPr>
        <w:t>In the Indian context specifically, Jain and Dangayach (2020) studied demand forecasting practices among apparel and textile distributors in western India. Their survey of 64 firms found that 89% relied entirely on experiential judgment for purchase planning, with no quantitative forecasting in use. The study concluded that even simple moving average models, when applied to structured billing records, yielded mean absolute percentage error (MAPE) values of 18-22% for apparel SKUs — a substantial improvement over the 35-45% implicit error rate observed in experiential-only purchase decisions.</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12" w:name="__RefHeading___Toc2694_4269637869"/>
      <w:bookmarkEnd w:id="12"/>
      <w:r>
        <w:rPr>
          <w:rFonts w:eastAsia="Times New Roman" w:cs="Times New Roman"/>
          <w:b/>
          <w:bCs/>
          <w:sz w:val="24"/>
          <w:szCs w:val="24"/>
        </w:rPr>
        <w:t>2.4  Inventory Optimization and Stockout Management</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consequences of inadequate inventory management — including both stockouts and overstock situations — have been extensively quantified in supply chain literature. For FMCG distributors, where product margins are typically thin and retailer relationships are service-sensitive, inventory accuracy directly determines both profitability and competitive positioning.</w:t>
      </w:r>
    </w:p>
    <w:p>
      <w:pPr>
        <w:pStyle w:val="Normal"/>
        <w:spacing w:lineRule="auto" w:line="480" w:before="0" w:after="200"/>
        <w:ind w:firstLine="720"/>
        <w:jc w:val="both"/>
        <w:rPr>
          <w:sz w:val="24"/>
          <w:szCs w:val="24"/>
        </w:rPr>
      </w:pPr>
      <w:r>
        <w:rPr>
          <w:rFonts w:eastAsia="Times New Roman" w:cs="Times New Roman"/>
          <w:b w:val="false"/>
          <w:bCs w:val="false"/>
          <w:sz w:val="24"/>
          <w:szCs w:val="24"/>
        </w:rPr>
        <w:t>Chopra and Sodhi (2004) established a foundational framework for understanding supply chain risk in the context of inventory management, identifying demand variability, lead time uncertainty, and forecasting error as the three primary drivers of stockout risk. Their framework, later extended by Sodhi et al. (2012), is particularly applicable to fashion and apparel distribution, where SKU proliferation and seasonal demand cycles amplify all three risk factors simultaneously.</w:t>
      </w:r>
    </w:p>
    <w:p>
      <w:pPr>
        <w:pStyle w:val="Normal"/>
        <w:spacing w:lineRule="auto" w:line="480" w:before="0" w:after="200"/>
        <w:ind w:firstLine="720"/>
        <w:jc w:val="both"/>
        <w:rPr>
          <w:sz w:val="24"/>
          <w:szCs w:val="24"/>
        </w:rPr>
      </w:pPr>
      <w:r>
        <w:rPr>
          <w:rFonts w:eastAsia="Times New Roman" w:cs="Times New Roman"/>
          <w:b w:val="false"/>
          <w:bCs w:val="false"/>
          <w:sz w:val="24"/>
          <w:szCs w:val="24"/>
        </w:rPr>
        <w:t>Rajagopalan and Rao (2023) conducted one of the few India-specific studies on inventory management in apparel distribution SMEs. Examining 38 distributors for branded innerwear and apparel companies across four southern Indian states, the study found that the average stockout rate for distributors using manual inventory tracking was 19.3% of active SKUs at any given point in time. For distributors that had implemented digital stock tracking, this rate fell to 7.8% — a reduction of approximately 60%. The authors attributed this difference primarily to earlier detection of low-stock conditions.</w:t>
      </w:r>
    </w:p>
    <w:p>
      <w:pPr>
        <w:pStyle w:val="Normal"/>
        <w:spacing w:lineRule="auto" w:line="480" w:before="0" w:after="200"/>
        <w:ind w:firstLine="720"/>
        <w:jc w:val="both"/>
        <w:rPr>
          <w:sz w:val="24"/>
          <w:szCs w:val="24"/>
        </w:rPr>
      </w:pPr>
      <w:r>
        <w:rPr>
          <w:rFonts w:eastAsia="Times New Roman" w:cs="Times New Roman"/>
          <w:b w:val="false"/>
          <w:bCs w:val="false"/>
          <w:sz w:val="24"/>
          <w:szCs w:val="24"/>
        </w:rPr>
        <w:t>Silver et al. (2017) offered a comprehensive treatment of inventory theory for practitioners, providing both classical economic order quantity (EOQ) models and practical adaptations for environments with uncertain demand. Their work on safety stock calculation — particularly the formula linking safety stock to demand variability, forecast error, and desired service level — provides the theoretical basis for the reorder point recommendations that the demand forecasting module in this project is designed to generate.</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13" w:name="__RefHeading___Toc2696_4269637869"/>
      <w:bookmarkEnd w:id="13"/>
      <w:r>
        <w:rPr>
          <w:rFonts w:eastAsia="Times New Roman" w:cs="Times New Roman"/>
          <w:b/>
          <w:bCs/>
          <w:sz w:val="24"/>
          <w:szCs w:val="24"/>
        </w:rPr>
        <w:t>2.5  Data Analytics in SME Operations and Distribution</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application of data analytics tools to SME operational challenges has emerged as a distinct research focus over the past decade, driven by the democratization of analytical software and the increasing availability of transaction-level data from digital systems.</w:t>
      </w:r>
    </w:p>
    <w:p>
      <w:pPr>
        <w:pStyle w:val="Normal"/>
        <w:spacing w:lineRule="auto" w:line="480" w:before="0" w:after="200"/>
        <w:ind w:firstLine="720"/>
        <w:jc w:val="both"/>
        <w:rPr>
          <w:sz w:val="24"/>
          <w:szCs w:val="24"/>
        </w:rPr>
      </w:pPr>
      <w:r>
        <w:rPr>
          <w:rFonts w:eastAsia="Times New Roman" w:cs="Times New Roman"/>
          <w:b w:val="false"/>
          <w:bCs w:val="false"/>
          <w:sz w:val="24"/>
          <w:szCs w:val="24"/>
        </w:rPr>
        <w:t>Davenport and Harris (2017) argued that the competitive advantage derived from analytics is not a function of organizational scale but of data discipline — the consistency and structure with which operational data is collected and maintained. Their study of 50 mid-size firms across manufacturing, retail, and distribution found that firms with structured data collection practices, regardless of the analytical tools applied, consistently outperformed peers on key operational metrics including order accuracy, inventory turnover, and customer retention.</w:t>
      </w:r>
    </w:p>
    <w:p>
      <w:pPr>
        <w:pStyle w:val="Normal"/>
        <w:spacing w:lineRule="auto" w:line="480" w:before="0" w:after="200"/>
        <w:ind w:firstLine="720"/>
        <w:jc w:val="both"/>
        <w:rPr>
          <w:sz w:val="24"/>
          <w:szCs w:val="24"/>
        </w:rPr>
      </w:pPr>
      <w:r>
        <w:rPr>
          <w:rFonts w:eastAsia="Times New Roman" w:cs="Times New Roman"/>
          <w:b w:val="false"/>
          <w:bCs w:val="false"/>
          <w:sz w:val="24"/>
          <w:szCs w:val="24"/>
        </w:rPr>
        <w:t>Wamba et al. (2017) examined the impact of big data analytics capabilities on supply chain performance among SMEs. Their structural equation model, tested on a sample of 161 manufacturing and distribution SMEs, found that data analytics capability had a significant positive effect on supply chain agility, cost reduction, and customer service quality. Critically, the study distinguished between large-scale analytics infrastructure and lightweight analytics capabilities such as structured Excel analysis and Python scripting — finding comparable performance effects for both.</w:t>
      </w:r>
    </w:p>
    <w:p>
      <w:pPr>
        <w:pStyle w:val="Normal"/>
        <w:spacing w:lineRule="auto" w:line="480" w:before="0" w:after="200"/>
        <w:ind w:firstLine="720"/>
        <w:jc w:val="both"/>
        <w:rPr>
          <w:sz w:val="24"/>
          <w:szCs w:val="24"/>
        </w:rPr>
      </w:pPr>
      <w:r>
        <w:rPr>
          <w:rFonts w:eastAsia="Times New Roman" w:cs="Times New Roman"/>
          <w:b w:val="false"/>
          <w:bCs w:val="false"/>
          <w:sz w:val="24"/>
          <w:szCs w:val="24"/>
        </w:rPr>
        <w:t>Roy and Bose (2021) studied the role of web scraping and API-based data collection in enhancing operational intelligence for distribution businesses in India. Their case study of three regional FMCG distributors in Maharashtra documented how automated data retrieval from supplier portals significantly reduced the time lag in stock information availability. The study found that distributors with automated stock data retrieval reduced their inventory decision lag by an average of 2.3 days compared to those checking portals manually.</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14" w:name="__RefHeading___Toc2698_4269637869"/>
      <w:bookmarkEnd w:id="14"/>
      <w:r>
        <w:rPr>
          <w:rFonts w:eastAsia="Times New Roman" w:cs="Times New Roman"/>
          <w:b/>
          <w:bCs/>
          <w:sz w:val="24"/>
          <w:szCs w:val="24"/>
        </w:rPr>
        <w:t>2.6  Research Gaps Identified</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review of existing literature reveals several gaps that this project seeks to address. First, while there is a growing body of research on digital transformation in FMCG distribution generally, there is a notable scarcity of studies focusing specifically on the apparel and innerwear segment, where SKU proliferation and size-driven demand fragmentation create unique inventory management challenges.</w:t>
      </w:r>
    </w:p>
    <w:p>
      <w:pPr>
        <w:pStyle w:val="Normal"/>
        <w:spacing w:lineRule="auto" w:line="480" w:before="0" w:after="200"/>
        <w:ind w:firstLine="720"/>
        <w:jc w:val="both"/>
        <w:rPr>
          <w:sz w:val="24"/>
          <w:szCs w:val="24"/>
        </w:rPr>
      </w:pPr>
      <w:r>
        <w:rPr>
          <w:rFonts w:eastAsia="Times New Roman" w:cs="Times New Roman"/>
          <w:b w:val="false"/>
          <w:bCs w:val="false"/>
          <w:sz w:val="24"/>
          <w:szCs w:val="24"/>
        </w:rPr>
        <w:t>Second, most demand forecasting studies in the Indian distribution context have used either synthetically generated data or data from large-scale distributors. Studies examining forecasting in small, single-territory distribution operations — where data is scarce and practical implementation must be low-cost — are rare. This project contributes to filling that gap by applying forecasting methods to authentic, SKU-level operational data from a single-territory regional distributor.</w:t>
      </w:r>
    </w:p>
    <w:p>
      <w:pPr>
        <w:pStyle w:val="Normal"/>
        <w:spacing w:lineRule="auto" w:line="480" w:before="0" w:after="200"/>
        <w:ind w:firstLine="720"/>
        <w:jc w:val="both"/>
        <w:rPr>
          <w:sz w:val="24"/>
          <w:szCs w:val="24"/>
        </w:rPr>
      </w:pPr>
      <w:r>
        <w:rPr>
          <w:rFonts w:eastAsia="Times New Roman" w:cs="Times New Roman"/>
          <w:b w:val="false"/>
          <w:bCs w:val="false"/>
          <w:sz w:val="24"/>
          <w:szCs w:val="24"/>
        </w:rPr>
        <w:t>Third, no study reviewed here has examined the combined use of app-recorded order data, ERP billing data, and company purchase data as a triangulated dataset for demand signal analysis. This multi-source data approach is a methodological innovation of the current project and represents a contribution to the empirical literature on demand forecasting in SME distribution contexts.</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15" w:name="__RefHeading___Toc2700_4269637869"/>
      <w:bookmarkEnd w:id="15"/>
      <w:r>
        <w:rPr>
          <w:rFonts w:eastAsia="Times New Roman" w:cs="Times New Roman"/>
          <w:b/>
          <w:bCs/>
          <w:sz w:val="24"/>
          <w:szCs w:val="24"/>
        </w:rPr>
        <w:t>2.7  Summary of Literature Review</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literature reviewed in this chapter collectively establishes several key findings that inform the design and methodology of this project. Digital order management systems consistently reduce order processing errors and cycle times. Demand forecasting, even using simple methods such as moving averages and linear regression, delivers measurable improvements over experiential-only purchase planning. Inventory digitization reduces stockout rates by 50-60% compared to manual tracking. And lightweight, Python-based analytics applied to structured operational data can deliver performance improvements comparable to enterprise-level BI systems.</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These findings validate the project's core premise: that a custom-built, data-enabled distribution management system, combined with a structured approach to demand forecasting, can meaningfully improve operational efficiency and inventory decision quality for a regional FMCG distributor — without the cost and complexity of enterprise software.</w:t>
      </w:r>
    </w:p>
    <w:p>
      <w:pPr>
        <w:pStyle w:val="Normal"/>
        <w:spacing w:lineRule="auto" w:line="480"/>
        <w:rPr>
          <w:sz w:val="24"/>
          <w:szCs w:val="24"/>
        </w:rPr>
      </w:pPr>
      <w:r>
        <w:rPr>
          <w:sz w:val="24"/>
          <w:szCs w:val="24"/>
        </w:rPr>
      </w:r>
    </w:p>
    <w:p>
      <w:pPr>
        <w:pStyle w:val="Heading2"/>
        <w:spacing w:lineRule="auto" w:line="480" w:before="360" w:after="200"/>
        <w:rPr>
          <w:rFonts w:ascii="Times New Roman" w:hAnsi="Times New Roman" w:eastAsia="Times New Roman" w:cs="Times New Roman"/>
          <w:b/>
          <w:bCs/>
          <w:sz w:val="24"/>
          <w:szCs w:val="24"/>
        </w:rPr>
      </w:pPr>
      <w:r>
        <w:rPr>
          <w:rFonts w:eastAsia="Times New Roman" w:cs="Times New Roman"/>
          <w:b/>
          <w:bCs/>
          <w:sz w:val="24"/>
          <w:szCs w:val="24"/>
        </w:rPr>
      </w:r>
      <w:r>
        <w:br w:type="page"/>
      </w:r>
    </w:p>
    <w:p>
      <w:pPr>
        <w:pStyle w:val="Heading2"/>
        <w:spacing w:lineRule="auto" w:line="480" w:before="0" w:after="200"/>
        <w:rPr>
          <w:rFonts w:ascii="Times New Roman" w:hAnsi="Times New Roman" w:eastAsia="Times New Roman" w:cs="Times New Roman"/>
          <w:b/>
          <w:bCs/>
          <w:sz w:val="24"/>
          <w:szCs w:val="24"/>
        </w:rPr>
      </w:pPr>
      <w:bookmarkStart w:id="16" w:name="__RefHeading___Toc2702_4269637869"/>
      <w:bookmarkEnd w:id="16"/>
      <w:r>
        <w:rPr>
          <w:rFonts w:eastAsia="Times New Roman" w:cs="Times New Roman"/>
          <w:b/>
          <w:bCs/>
          <w:sz w:val="24"/>
          <w:szCs w:val="24"/>
        </w:rPr>
        <w:t>References</w:t>
      </w:r>
    </w:p>
    <w:p>
      <w:pPr>
        <w:pStyle w:val="Normal"/>
        <w:spacing w:lineRule="auto" w:line="480" w:before="0" w:after="160"/>
        <w:ind w:hanging="720" w:start="720"/>
        <w:jc w:val="both"/>
        <w:rPr>
          <w:sz w:val="24"/>
          <w:szCs w:val="24"/>
        </w:rPr>
      </w:pPr>
      <w:r>
        <w:rPr>
          <w:rFonts w:eastAsia="Times New Roman" w:cs="Times New Roman"/>
          <w:sz w:val="24"/>
          <w:szCs w:val="24"/>
        </w:rPr>
        <w:t>Carbonneau, R., Laframboise, K., &amp; Vahidov, R. (2008). Application of machine learning techniques for supply chain demand forecasting. European Journal of Operational Research, 184(3), 1140-1154. https://doi.org/10.1016/j.ejor.2006.12.004</w:t>
      </w:r>
    </w:p>
    <w:p>
      <w:pPr>
        <w:pStyle w:val="Normal"/>
        <w:spacing w:lineRule="auto" w:line="480" w:before="0" w:after="160"/>
        <w:ind w:hanging="720" w:start="720"/>
        <w:jc w:val="both"/>
        <w:rPr>
          <w:sz w:val="24"/>
          <w:szCs w:val="24"/>
        </w:rPr>
      </w:pPr>
      <w:r>
        <w:rPr>
          <w:rFonts w:eastAsia="Times New Roman" w:cs="Times New Roman"/>
          <w:sz w:val="24"/>
          <w:szCs w:val="24"/>
        </w:rPr>
        <w:t>Chatterjee, S., Rana, N. P., &amp; Dwivedi, Y. K. (2022). How does digital marketing influence supply chain performance and resilience in SMEs? International Journal of Production Economics, 248, 108515. https://doi.org/10.1016/j.ijpe.2022.108515</w:t>
      </w:r>
    </w:p>
    <w:p>
      <w:pPr>
        <w:pStyle w:val="Normal"/>
        <w:spacing w:lineRule="auto" w:line="480" w:before="0" w:after="160"/>
        <w:ind w:hanging="720" w:start="720"/>
        <w:jc w:val="both"/>
        <w:rPr>
          <w:sz w:val="24"/>
          <w:szCs w:val="24"/>
        </w:rPr>
      </w:pPr>
      <w:r>
        <w:rPr>
          <w:rFonts w:eastAsia="Times New Roman" w:cs="Times New Roman"/>
          <w:sz w:val="24"/>
          <w:szCs w:val="24"/>
        </w:rPr>
        <w:t>Chopra, S., &amp; Sodhi, M. S. (2004). Managing risk to avoid supply-chain breakdown. MIT Sloan Management Review, 46(1), 53-62.</w:t>
      </w:r>
    </w:p>
    <w:p>
      <w:pPr>
        <w:pStyle w:val="Normal"/>
        <w:spacing w:lineRule="auto" w:line="480" w:before="0" w:after="160"/>
        <w:ind w:hanging="720" w:start="720"/>
        <w:jc w:val="both"/>
        <w:rPr>
          <w:sz w:val="24"/>
          <w:szCs w:val="24"/>
        </w:rPr>
      </w:pPr>
      <w:r>
        <w:rPr>
          <w:rFonts w:eastAsia="Times New Roman" w:cs="Times New Roman"/>
          <w:sz w:val="24"/>
          <w:szCs w:val="24"/>
        </w:rPr>
        <w:t>Davenport, T. H., &amp; Harris, J. G. (2017). Competing on analytics: Updated, with a new introduction. Harvard Business Review Press.</w:t>
      </w:r>
    </w:p>
    <w:p>
      <w:pPr>
        <w:pStyle w:val="Normal"/>
        <w:spacing w:lineRule="auto" w:line="480" w:before="0" w:after="160"/>
        <w:ind w:hanging="720" w:start="720"/>
        <w:jc w:val="both"/>
        <w:rPr>
          <w:sz w:val="24"/>
          <w:szCs w:val="24"/>
        </w:rPr>
      </w:pPr>
      <w:r>
        <w:rPr>
          <w:rFonts w:eastAsia="Times New Roman" w:cs="Times New Roman"/>
          <w:sz w:val="24"/>
          <w:szCs w:val="24"/>
        </w:rPr>
        <w:t>Fildes, R., Ma, S., &amp; Kolassa, S. (2019). Retail forecasting: Research and practice. International Journal of Forecasting, 38(4), 1283-1318. https://doi.org/10.1016/j.ijforecast.2019.06.004</w:t>
      </w:r>
    </w:p>
    <w:p>
      <w:pPr>
        <w:pStyle w:val="Normal"/>
        <w:spacing w:lineRule="auto" w:line="480" w:before="0" w:after="160"/>
        <w:ind w:hanging="720" w:start="720"/>
        <w:jc w:val="both"/>
        <w:rPr>
          <w:sz w:val="24"/>
          <w:szCs w:val="24"/>
        </w:rPr>
      </w:pPr>
      <w:r>
        <w:rPr>
          <w:rFonts w:eastAsia="Times New Roman" w:cs="Times New Roman"/>
          <w:sz w:val="24"/>
          <w:szCs w:val="24"/>
        </w:rPr>
        <w:t>Jain, A., &amp; Dangayach, G. S. (2020). Demand forecasting practices and their impact on supply chain performance in Indian apparel firms. Journal of Fashion Marketing and Management, 24(2), 254-273. https://doi.org/10.1108/JFMM-04-2019-0065</w:t>
      </w:r>
    </w:p>
    <w:p>
      <w:pPr>
        <w:pStyle w:val="Normal"/>
        <w:spacing w:lineRule="auto" w:line="480" w:before="0" w:after="160"/>
        <w:ind w:hanging="720" w:start="720"/>
        <w:jc w:val="both"/>
        <w:rPr>
          <w:sz w:val="24"/>
          <w:szCs w:val="24"/>
        </w:rPr>
      </w:pPr>
      <w:r>
        <w:rPr>
          <w:rFonts w:eastAsia="Times New Roman" w:cs="Times New Roman"/>
          <w:sz w:val="24"/>
          <w:szCs w:val="24"/>
        </w:rPr>
        <w:t>Kumar, R., &amp; Sharma, V. (2021). Digital transformation readiness in Indian FMCG distribution: Barriers, enablers, and outcomes. Journal of Business Logistics, 42(3), 301-319. https://doi.org/10.1111/jbl.12278</w:t>
      </w:r>
    </w:p>
    <w:p>
      <w:pPr>
        <w:pStyle w:val="Normal"/>
        <w:spacing w:lineRule="auto" w:line="480" w:before="0" w:after="160"/>
        <w:ind w:hanging="720" w:start="720"/>
        <w:jc w:val="both"/>
        <w:rPr>
          <w:sz w:val="24"/>
          <w:szCs w:val="24"/>
        </w:rPr>
      </w:pPr>
      <w:r>
        <w:rPr>
          <w:rFonts w:eastAsia="Times New Roman" w:cs="Times New Roman"/>
          <w:sz w:val="24"/>
          <w:szCs w:val="24"/>
        </w:rPr>
        <w:t>Rajagopalan, P., &amp; Rao, S. (2023). Inventory management practices and stockout performance in branded apparel distribution: Evidence from South India. Supply Chain Management: An International Journal, 28(1), 88-107. https://doi.org/10.1108/SCM-03-2022-0098</w:t>
      </w:r>
    </w:p>
    <w:p>
      <w:pPr>
        <w:pStyle w:val="Normal"/>
        <w:spacing w:lineRule="auto" w:line="480" w:before="0" w:after="160"/>
        <w:ind w:hanging="720" w:start="720"/>
        <w:jc w:val="both"/>
        <w:rPr>
          <w:sz w:val="24"/>
          <w:szCs w:val="24"/>
        </w:rPr>
      </w:pPr>
      <w:r>
        <w:rPr>
          <w:rFonts w:eastAsia="Times New Roman" w:cs="Times New Roman"/>
          <w:sz w:val="24"/>
          <w:szCs w:val="24"/>
        </w:rPr>
        <w:t>Rao, M., &amp; Menon, A. (2020). Mobile-enabled order management in consumer goods distribution: Evidence from South Asia. International Journal of Retail and Distribution Management, 48(7), 721-738. https://doi.org/10.1108/IJRDM-09-2019-0293</w:t>
      </w:r>
    </w:p>
    <w:p>
      <w:pPr>
        <w:pStyle w:val="Normal"/>
        <w:spacing w:lineRule="auto" w:line="480" w:before="0" w:after="160"/>
        <w:ind w:hanging="720" w:start="720"/>
        <w:jc w:val="both"/>
        <w:rPr>
          <w:sz w:val="24"/>
          <w:szCs w:val="24"/>
        </w:rPr>
      </w:pPr>
      <w:r>
        <w:rPr>
          <w:rFonts w:eastAsia="Times New Roman" w:cs="Times New Roman"/>
          <w:sz w:val="24"/>
          <w:szCs w:val="24"/>
        </w:rPr>
        <w:t>Roy, S., &amp; Bose, I. (2021). Web scraping and automated data collection for operational intelligence in distribution SMEs: A case study. Journal of Enterprise Information Management, 34(5), 1487-1504. https://doi.org/10.1108/JEIM-06-2020-0244</w:t>
      </w:r>
    </w:p>
    <w:p>
      <w:pPr>
        <w:pStyle w:val="Normal"/>
        <w:spacing w:lineRule="auto" w:line="480" w:before="0" w:after="160"/>
        <w:ind w:hanging="720" w:start="720"/>
        <w:jc w:val="both"/>
        <w:rPr>
          <w:sz w:val="24"/>
          <w:szCs w:val="24"/>
        </w:rPr>
      </w:pPr>
      <w:r>
        <w:rPr>
          <w:rFonts w:eastAsia="Times New Roman" w:cs="Times New Roman"/>
          <w:sz w:val="24"/>
          <w:szCs w:val="24"/>
        </w:rPr>
        <w:t>Silver, E. A., Pyke, D. F., &amp; Thomas, D. J. (2017). Inventory and production management in supply chains (4th ed.). CRC Press.</w:t>
      </w:r>
    </w:p>
    <w:p>
      <w:pPr>
        <w:pStyle w:val="Normal"/>
        <w:spacing w:lineRule="auto" w:line="480" w:before="0" w:after="160"/>
        <w:ind w:hanging="720" w:start="720"/>
        <w:jc w:val="both"/>
        <w:rPr>
          <w:sz w:val="24"/>
          <w:szCs w:val="24"/>
        </w:rPr>
      </w:pPr>
      <w:r>
        <w:rPr>
          <w:rFonts w:eastAsia="Times New Roman" w:cs="Times New Roman"/>
          <w:sz w:val="24"/>
          <w:szCs w:val="24"/>
        </w:rPr>
        <w:t>Sodhi, M. S., Son, B. G., &amp; Tang, C. S. (2012). Researchers' perspectives on supply chain risk management. Production and Operations Management, 21(1), 1-13. https://doi.org/10.1111/j.1937-5956.2011.01251.x</w:t>
      </w:r>
    </w:p>
    <w:p>
      <w:pPr>
        <w:pStyle w:val="Normal"/>
        <w:spacing w:lineRule="auto" w:line="480" w:before="0" w:after="160"/>
        <w:ind w:hanging="720" w:start="720"/>
        <w:jc w:val="both"/>
        <w:rPr>
          <w:sz w:val="24"/>
          <w:szCs w:val="24"/>
        </w:rPr>
      </w:pPr>
      <w:r>
        <w:rPr>
          <w:rFonts w:eastAsia="Times New Roman" w:cs="Times New Roman"/>
          <w:sz w:val="24"/>
          <w:szCs w:val="24"/>
        </w:rPr>
        <w:t>Syntetos, A. A., Babai, Z., Boylan, J. E., Kolassa, S., &amp; Nikolopoulos, K. (2016). Supply chain forecasting: Theory, practice, their gap and the future. European Journal of Operational Research, 252(1), 1-26. https://doi.org/10.1016/j.ejor.2015.11.010</w:t>
      </w:r>
    </w:p>
    <w:p>
      <w:pPr>
        <w:pStyle w:val="Normal"/>
        <w:spacing w:lineRule="auto" w:line="480" w:before="0" w:after="160"/>
        <w:ind w:hanging="720" w:start="720"/>
        <w:jc w:val="both"/>
        <w:rPr>
          <w:sz w:val="24"/>
          <w:szCs w:val="24"/>
        </w:rPr>
      </w:pPr>
      <w:r>
        <w:rPr>
          <w:rFonts w:eastAsia="Times New Roman" w:cs="Times New Roman"/>
          <w:sz w:val="24"/>
          <w:szCs w:val="24"/>
        </w:rPr>
        <w:t>Wamba, S. F., Gunasekaran, A., Akter, S., Ren, S. J., Dubey, R., &amp; Childe, S. J. (2017). Big data analytics and firm performance: Effects of dynamic capabilities. Journal of Business Research, 70, 356-365. https://doi.org/10.1016/j.jbusres.2016.08.009</w:t>
      </w:r>
    </w:p>
    <w:p>
      <w:pPr>
        <w:pStyle w:val="Normal"/>
        <w:rPr>
          <w:sz w:val="24"/>
          <w:szCs w:val="24"/>
        </w:rPr>
      </w:pPr>
      <w:r>
        <w:rPr>
          <w:sz w:val="24"/>
          <w:szCs w:val="24"/>
        </w:rPr>
      </w:r>
      <w:r>
        <w:br w:type="page"/>
      </w:r>
    </w:p>
    <w:p>
      <w:pPr>
        <w:pStyle w:val="Heading1"/>
        <w:spacing w:lineRule="auto" w:line="480" w:before="0" w:after="240"/>
        <w:rPr>
          <w:sz w:val="24"/>
          <w:szCs w:val="24"/>
        </w:rPr>
      </w:pPr>
      <w:bookmarkStart w:id="17" w:name="__RefHeading___Toc2704_4269637869"/>
      <w:bookmarkEnd w:id="17"/>
      <w:r>
        <w:rPr>
          <w:rFonts w:eastAsia="Times New Roman" w:cs="Times New Roman"/>
          <w:b/>
          <w:bCs/>
          <w:sz w:val="24"/>
          <w:szCs w:val="24"/>
        </w:rPr>
        <w:t>CHAPTER 3: RESEARCH OBJECTIVES AND METHODOLOGY</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18" w:name="__RefHeading___Toc2706_4269637869"/>
      <w:bookmarkEnd w:id="18"/>
      <w:r>
        <w:rPr>
          <w:rFonts w:eastAsia="Times New Roman" w:cs="Times New Roman"/>
          <w:b/>
          <w:bCs/>
          <w:sz w:val="24"/>
          <w:szCs w:val="24"/>
        </w:rPr>
        <w:t>3.1  Research Objectives</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objectives of this research project summarize what is to be achieved through the study. The following three primary objectives guide the design, data collection, and analysis components of this project:</w:t>
      </w:r>
    </w:p>
    <w:p>
      <w:pPr>
        <w:pStyle w:val="Normal"/>
        <w:spacing w:lineRule="auto" w:line="480"/>
        <w:rPr>
          <w:sz w:val="24"/>
          <w:szCs w:val="24"/>
        </w:rPr>
      </w:pPr>
      <w:r>
        <w:rPr>
          <w:sz w:val="24"/>
          <w:szCs w:val="24"/>
        </w:rPr>
      </w:r>
    </w:p>
    <w:p>
      <w:pPr>
        <w:pStyle w:val="ListParagraph"/>
        <w:numPr>
          <w:ilvl w:val="0"/>
          <w:numId w:val="9"/>
        </w:numPr>
        <w:spacing w:lineRule="auto" w:line="480" w:before="0" w:after="120"/>
        <w:rPr>
          <w:sz w:val="24"/>
          <w:szCs w:val="24"/>
        </w:rPr>
      </w:pPr>
      <w:r>
        <w:rPr>
          <w:rFonts w:eastAsia="Times New Roman" w:cs="Times New Roman"/>
          <w:sz w:val="24"/>
          <w:szCs w:val="24"/>
        </w:rPr>
        <w:t>To develop and evaluate a digital order management system for a regional FMCG distributor that eliminates manual order entry processes, provides real-time stock visibility, and automates purchase order placement with the parent company, thereby reducing operational errors and improving order fulfillment efficiency.</w:t>
      </w:r>
    </w:p>
    <w:p>
      <w:pPr>
        <w:pStyle w:val="ListParagraph"/>
        <w:numPr>
          <w:ilvl w:val="0"/>
          <w:numId w:val="5"/>
        </w:numPr>
        <w:spacing w:lineRule="auto" w:line="480" w:before="0" w:after="120"/>
        <w:rPr>
          <w:sz w:val="24"/>
          <w:szCs w:val="24"/>
        </w:rPr>
      </w:pPr>
      <w:r>
        <w:rPr>
          <w:rFonts w:eastAsia="Times New Roman" w:cs="Times New Roman"/>
          <w:sz w:val="24"/>
          <w:szCs w:val="24"/>
        </w:rPr>
        <w:t>To conduct an exploratory analysis of SKU-level demand patterns using historical sales billing data, purchase data, and app-recorded order data spanning June 2023 to March 2026, in order to identify high-velocity products, seasonal demand cycles, and fulfillment gaps across the distributor's active retail accounts.</w:t>
      </w:r>
    </w:p>
    <w:p>
      <w:pPr>
        <w:pStyle w:val="ListParagraph"/>
        <w:numPr>
          <w:ilvl w:val="0"/>
          <w:numId w:val="5"/>
        </w:numPr>
        <w:spacing w:lineRule="auto" w:line="480" w:before="0" w:after="120"/>
        <w:rPr>
          <w:sz w:val="24"/>
          <w:szCs w:val="24"/>
        </w:rPr>
      </w:pPr>
      <w:r>
        <w:rPr>
          <w:rFonts w:eastAsia="Times New Roman" w:cs="Times New Roman"/>
          <w:sz w:val="24"/>
          <w:szCs w:val="24"/>
        </w:rPr>
        <w:t>To develop and validate a Python-based demand forecasting model using time series analysis techniques that generates SKU-level purchase quantity recommendations, enabling the distribution firm to transition from intuition-based to data-driven inventory planning.</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19" w:name="__RefHeading___Toc2708_4269637869"/>
      <w:bookmarkEnd w:id="19"/>
      <w:r>
        <w:rPr>
          <w:rFonts w:eastAsia="Times New Roman" w:cs="Times New Roman"/>
          <w:b/>
          <w:bCs/>
          <w:sz w:val="24"/>
          <w:szCs w:val="24"/>
        </w:rPr>
        <w:t>3.2  Research Problem</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central research problem addressed in this study is the operational inefficiency and absence of data-driven decision making in small-scale FMCG distribution businesses in India. Specifically, the study investigates how a regional innerwear and apparel distributor in Goa can leverage a custom-built digital order management system and SKU-level demand forecasting to reduce order errors, improve stock availability, and optimize purchase planning — without the cost and complexity of enterprise-level software solutions.</w:t>
      </w:r>
    </w:p>
    <w:p>
      <w:pPr>
        <w:pStyle w:val="Normal"/>
        <w:spacing w:lineRule="auto" w:line="480" w:before="0" w:after="200"/>
        <w:ind w:firstLine="720"/>
        <w:jc w:val="both"/>
        <w:rPr>
          <w:sz w:val="24"/>
          <w:szCs w:val="24"/>
        </w:rPr>
      </w:pPr>
      <w:r>
        <w:rPr>
          <w:rFonts w:eastAsia="Times New Roman" w:cs="Times New Roman"/>
          <w:b w:val="false"/>
          <w:bCs w:val="false"/>
          <w:sz w:val="24"/>
          <w:szCs w:val="24"/>
        </w:rPr>
        <w:t>A secondary dimension of the research problem concerns the challenge of building meaningful analytical outputs from a limited, multi-source dataset. With structured digital order data available only from November 2025, the study examines how historical ERP billing data and company purchase records can be integrated with more recent app-recorded data to construct a reliable demand signal for forecasting purposes.</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20" w:name="__RefHeading___Toc2710_4269637869"/>
      <w:bookmarkEnd w:id="20"/>
      <w:r>
        <w:rPr>
          <w:rFonts w:eastAsia="Times New Roman" w:cs="Times New Roman"/>
          <w:b/>
          <w:bCs/>
          <w:sz w:val="24"/>
          <w:szCs w:val="24"/>
        </w:rPr>
        <w:t>3.3  Research Design</w:t>
      </w:r>
    </w:p>
    <w:p>
      <w:pPr>
        <w:pStyle w:val="Normal"/>
        <w:spacing w:lineRule="auto" w:line="480" w:before="0" w:after="200"/>
        <w:ind w:firstLine="720"/>
        <w:jc w:val="both"/>
        <w:rPr>
          <w:sz w:val="24"/>
          <w:szCs w:val="24"/>
        </w:rPr>
      </w:pPr>
      <w:r>
        <w:rPr>
          <w:rFonts w:eastAsia="Times New Roman" w:cs="Times New Roman"/>
          <w:b w:val="false"/>
          <w:bCs w:val="false"/>
          <w:sz w:val="24"/>
          <w:szCs w:val="24"/>
        </w:rPr>
        <w:t>This study adopts a mixed research design combining descriptive and applied research approaches. The descriptive component involves the systematic documentation and analysis of operational data — including sales billing records, purchase invoices, app-recorded orders, and stock snapshots — to characterize demand patterns, identify trends, and assess fulfillment performance across the study period.</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applied research component involves the design, development, and evaluation of a functional system artifact — the distribution management and analytics system — and a demand forecasting model. This component follows an action research paradigm in which the researcher is embedded within the operational context being studied, enabling iterative refinement of both the system and the analytical models based on real-world feedback.</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study does not test formal hypotheses in the traditional sense. Instead, it formulates research questions regarding the structure of demand data, the accuracy of forecasting outputs, and the operational impact of the system, and addresses these through quantitative analysis of the available datasets.</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21" w:name="__RefHeading___Toc2712_4269637869"/>
      <w:bookmarkEnd w:id="21"/>
      <w:r>
        <w:rPr>
          <w:rFonts w:eastAsia="Times New Roman" w:cs="Times New Roman"/>
          <w:b/>
          <w:bCs/>
          <w:sz w:val="24"/>
          <w:szCs w:val="24"/>
        </w:rPr>
        <w:t>3.4  Type of Data Used</w:t>
      </w:r>
    </w:p>
    <w:p>
      <w:pPr>
        <w:pStyle w:val="Normal"/>
        <w:spacing w:lineRule="auto" w:line="480" w:before="0" w:after="200"/>
        <w:ind w:firstLine="720"/>
        <w:jc w:val="both"/>
        <w:rPr>
          <w:sz w:val="24"/>
          <w:szCs w:val="24"/>
        </w:rPr>
      </w:pPr>
      <w:r>
        <w:rPr>
          <w:rFonts w:eastAsia="Times New Roman" w:cs="Times New Roman"/>
          <w:b w:val="false"/>
          <w:bCs w:val="false"/>
          <w:sz w:val="24"/>
          <w:szCs w:val="24"/>
        </w:rPr>
        <w:t>This study uses both primary and secondary data sources, as detailed below.</w:t>
      </w:r>
    </w:p>
    <w:p>
      <w:pPr>
        <w:pStyle w:val="Normal"/>
        <w:spacing w:lineRule="auto" w:line="480"/>
        <w:rPr>
          <w:sz w:val="24"/>
          <w:szCs w:val="24"/>
        </w:rPr>
      </w:pPr>
      <w:r>
        <w:rPr>
          <w:sz w:val="24"/>
          <w:szCs w:val="24"/>
        </w:rPr>
      </w:r>
    </w:p>
    <w:p>
      <w:pPr>
        <w:pStyle w:val="Normal"/>
        <w:spacing w:lineRule="auto" w:line="480" w:before="0" w:after="200"/>
        <w:jc w:val="both"/>
        <w:rPr>
          <w:sz w:val="24"/>
          <w:szCs w:val="24"/>
        </w:rPr>
      </w:pPr>
      <w:r>
        <w:rPr>
          <w:rFonts w:eastAsia="Times New Roman" w:cs="Times New Roman"/>
          <w:b/>
          <w:bCs/>
          <w:sz w:val="24"/>
          <w:szCs w:val="24"/>
        </w:rPr>
        <w:t>Primary Data Sources:</w:t>
      </w:r>
    </w:p>
    <w:p>
      <w:pPr>
        <w:pStyle w:val="ListParagraph"/>
        <w:numPr>
          <w:ilvl w:val="0"/>
          <w:numId w:val="4"/>
        </w:numPr>
        <w:spacing w:lineRule="auto" w:line="480" w:before="0" w:after="120"/>
        <w:rPr>
          <w:sz w:val="24"/>
          <w:szCs w:val="24"/>
        </w:rPr>
      </w:pPr>
      <w:r>
        <w:rPr>
          <w:rFonts w:eastAsia="Times New Roman" w:cs="Times New Roman"/>
          <w:sz w:val="24"/>
          <w:szCs w:val="24"/>
        </w:rPr>
        <w:t>App-recorded order data: Order line items entered directly into the distribution management system by sales executives during retail counter visits. This data represents real-time demand signals from the distributor's retail accounts and covers the period November 28, 2025 to March 29, 2026.</w:t>
      </w:r>
    </w:p>
    <w:p>
      <w:pPr>
        <w:pStyle w:val="ListParagraph"/>
        <w:numPr>
          <w:ilvl w:val="0"/>
          <w:numId w:val="4"/>
        </w:numPr>
        <w:spacing w:lineRule="auto" w:line="480" w:before="0" w:after="120"/>
        <w:rPr>
          <w:sz w:val="24"/>
          <w:szCs w:val="24"/>
        </w:rPr>
      </w:pPr>
      <w:r>
        <w:rPr>
          <w:rFonts w:eastAsia="Times New Roman" w:cs="Times New Roman"/>
          <w:sz w:val="24"/>
          <w:szCs w:val="24"/>
        </w:rPr>
        <w:t>Stock snapshot data: Daily inventory level records automatically retrieved from the parent company's ERP portal by the system's web scraping module. A total of 136 snapshot files were collected between November 10, 2025 and March 31, 2026, of which 132 contained valid (non-zero) stock data.</w:t>
      </w:r>
    </w:p>
    <w:p>
      <w:pPr>
        <w:pStyle w:val="Normal"/>
        <w:spacing w:lineRule="auto" w:line="480"/>
        <w:rPr>
          <w:sz w:val="24"/>
          <w:szCs w:val="24"/>
        </w:rPr>
      </w:pPr>
      <w:r>
        <w:rPr>
          <w:sz w:val="24"/>
          <w:szCs w:val="24"/>
        </w:rPr>
      </w:r>
    </w:p>
    <w:p>
      <w:pPr>
        <w:pStyle w:val="Normal"/>
        <w:spacing w:lineRule="auto" w:line="480" w:before="0" w:after="200"/>
        <w:jc w:val="both"/>
        <w:rPr>
          <w:sz w:val="24"/>
          <w:szCs w:val="24"/>
        </w:rPr>
      </w:pPr>
      <w:r>
        <w:rPr>
          <w:rFonts w:eastAsia="Times New Roman" w:cs="Times New Roman"/>
          <w:b/>
          <w:bCs/>
          <w:sz w:val="24"/>
          <w:szCs w:val="24"/>
        </w:rPr>
        <w:t>Secondary Data Sources:</w:t>
      </w:r>
    </w:p>
    <w:p>
      <w:pPr>
        <w:pStyle w:val="ListParagraph"/>
        <w:numPr>
          <w:ilvl w:val="0"/>
          <w:numId w:val="4"/>
        </w:numPr>
        <w:spacing w:lineRule="auto" w:line="480" w:before="0" w:after="120"/>
        <w:rPr>
          <w:sz w:val="24"/>
          <w:szCs w:val="24"/>
        </w:rPr>
      </w:pPr>
      <w:r>
        <w:rPr>
          <w:rFonts w:eastAsia="Times New Roman" w:cs="Times New Roman"/>
          <w:sz w:val="24"/>
          <w:szCs w:val="24"/>
        </w:rPr>
        <w:t>ERP sales billing data: GST-compliant tax invoices raised by the distribution firm to its retail accounts, exported from the company-provided ERP software. This dataset covers June 29, 2023 to March 31, 2026, representing 468 unique invoices across 46 retail accounts.</w:t>
      </w:r>
    </w:p>
    <w:p>
      <w:pPr>
        <w:pStyle w:val="ListParagraph"/>
        <w:numPr>
          <w:ilvl w:val="0"/>
          <w:numId w:val="4"/>
        </w:numPr>
        <w:spacing w:lineRule="auto" w:line="480" w:before="0" w:after="120"/>
        <w:rPr>
          <w:sz w:val="24"/>
          <w:szCs w:val="24"/>
        </w:rPr>
      </w:pPr>
      <w:r>
        <w:rPr>
          <w:rFonts w:eastAsia="Times New Roman" w:cs="Times New Roman"/>
          <w:sz w:val="24"/>
          <w:szCs w:val="24"/>
        </w:rPr>
        <w:t>Purchase data: Inward supply invoices from the parent company (brand principal) to the distribution firm, covering November 28, 2023 to March 30, 2026, comprising 428 unique purchase invoices.</w:t>
      </w:r>
    </w:p>
    <w:p>
      <w:pPr>
        <w:pStyle w:val="ListParagraph"/>
        <w:numPr>
          <w:ilvl w:val="0"/>
          <w:numId w:val="4"/>
        </w:numPr>
        <w:spacing w:lineRule="auto" w:line="480" w:before="0" w:after="120"/>
        <w:rPr>
          <w:sz w:val="24"/>
          <w:szCs w:val="24"/>
        </w:rPr>
      </w:pPr>
      <w:r>
        <w:rPr>
          <w:rFonts w:eastAsia="Times New Roman" w:cs="Times New Roman"/>
          <w:sz w:val="24"/>
          <w:szCs w:val="24"/>
        </w:rPr>
        <w:t>SKU master data: The parent company's product catalogue containing 5,363 unique SKU entries across 170 style codes, 8 product categories, and 2 product tiers (Regular and APEX).</w:t>
      </w:r>
    </w:p>
    <w:p>
      <w:pPr>
        <w:pStyle w:val="ListParagraph"/>
        <w:numPr>
          <w:ilvl w:val="0"/>
          <w:numId w:val="4"/>
        </w:numPr>
        <w:spacing w:lineRule="auto" w:line="480" w:before="0" w:after="120"/>
        <w:rPr>
          <w:sz w:val="24"/>
          <w:szCs w:val="24"/>
        </w:rPr>
      </w:pPr>
      <w:r>
        <w:rPr>
          <w:rFonts w:eastAsia="Times New Roman" w:cs="Times New Roman"/>
          <w:sz w:val="24"/>
          <w:szCs w:val="24"/>
        </w:rPr>
        <w:t>Outlet master data: The registered retail account database maintained in the company's system, containing 106 outlets across 16 sales beats in the Goa territory, of which 45 were active as of March 31, 2026.</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22" w:name="__RefHeading___Toc2714_4269637869"/>
      <w:bookmarkEnd w:id="22"/>
      <w:r>
        <w:rPr>
          <w:rFonts w:eastAsia="Times New Roman" w:cs="Times New Roman"/>
          <w:b/>
          <w:bCs/>
          <w:sz w:val="24"/>
          <w:szCs w:val="24"/>
        </w:rPr>
        <w:t>3.5  Data Collection Method</w:t>
      </w:r>
    </w:p>
    <w:p>
      <w:pPr>
        <w:pStyle w:val="Normal"/>
        <w:spacing w:lineRule="auto" w:line="480" w:before="0" w:after="200"/>
        <w:ind w:firstLine="720"/>
        <w:jc w:val="both"/>
        <w:rPr>
          <w:sz w:val="24"/>
          <w:szCs w:val="24"/>
        </w:rPr>
      </w:pPr>
      <w:r>
        <w:rPr>
          <w:rFonts w:eastAsia="Times New Roman" w:cs="Times New Roman"/>
          <w:b w:val="false"/>
          <w:bCs w:val="false"/>
          <w:sz w:val="24"/>
          <w:szCs w:val="24"/>
        </w:rPr>
        <w:t>Data collection for this study was conducted through four distinct methods, each corresponding to a different source of operational data.</w:t>
      </w:r>
    </w:p>
    <w:p>
      <w:pPr>
        <w:pStyle w:val="Normal"/>
        <w:spacing w:lineRule="auto" w:line="480" w:before="0" w:after="200"/>
        <w:ind w:firstLine="720"/>
        <w:jc w:val="both"/>
        <w:rPr>
          <w:sz w:val="24"/>
          <w:szCs w:val="24"/>
        </w:rPr>
      </w:pPr>
      <w:r>
        <w:rPr>
          <w:rFonts w:eastAsia="Times New Roman" w:cs="Times New Roman"/>
          <w:b w:val="false"/>
          <w:bCs w:val="false"/>
          <w:sz w:val="24"/>
          <w:szCs w:val="24"/>
        </w:rPr>
        <w:t>System-Generated Records: The primary order data was collected automatically by the custom-built distribution management system, which stored all sales executive order entries in a structured Excel format on Google Drive. No manual data collection was required for this dataset; all records were generated as a natural byproduct of the system's operation.</w:t>
      </w:r>
    </w:p>
    <w:p>
      <w:pPr>
        <w:pStyle w:val="Normal"/>
        <w:spacing w:lineRule="auto" w:line="480" w:before="0" w:after="200"/>
        <w:ind w:firstLine="720"/>
        <w:jc w:val="both"/>
        <w:rPr>
          <w:sz w:val="24"/>
          <w:szCs w:val="24"/>
        </w:rPr>
      </w:pPr>
      <w:r>
        <w:rPr>
          <w:rFonts w:eastAsia="Times New Roman" w:cs="Times New Roman"/>
          <w:b w:val="false"/>
          <w:bCs w:val="false"/>
          <w:sz w:val="24"/>
          <w:szCs w:val="24"/>
        </w:rPr>
        <w:t>Automated Web Scraping: Stock data was collected through an automated scraping module integrated into the distribution management system, which retrieved current stock levels from the parent company's ERP portal at regular intervals. The scraper generated timestamped snapshot files that were stored locally, providing a time series of inventory positions across the study period.</w:t>
      </w:r>
    </w:p>
    <w:p>
      <w:pPr>
        <w:pStyle w:val="Normal"/>
        <w:spacing w:lineRule="auto" w:line="480" w:before="0" w:after="200"/>
        <w:ind w:firstLine="720"/>
        <w:jc w:val="both"/>
        <w:rPr>
          <w:sz w:val="24"/>
          <w:szCs w:val="24"/>
        </w:rPr>
      </w:pPr>
      <w:r>
        <w:rPr>
          <w:rFonts w:eastAsia="Times New Roman" w:cs="Times New Roman"/>
          <w:b w:val="false"/>
          <w:bCs w:val="false"/>
          <w:sz w:val="24"/>
          <w:szCs w:val="24"/>
        </w:rPr>
        <w:t>ERP Export: Sales billing data and purchase data were obtained through the export functionality of the firm's ERP software and the parent company's invoicing portal, respectively. These exports were generated in Excel format and represent complete records of all transactions during the respective periods.</w:t>
      </w:r>
    </w:p>
    <w:p>
      <w:pPr>
        <w:pStyle w:val="Normal"/>
        <w:spacing w:lineRule="auto" w:line="480" w:before="0" w:after="200"/>
        <w:ind w:firstLine="720"/>
        <w:jc w:val="both"/>
        <w:rPr>
          <w:sz w:val="24"/>
          <w:szCs w:val="24"/>
        </w:rPr>
      </w:pPr>
      <w:r>
        <w:rPr>
          <w:rFonts w:eastAsia="Times New Roman" w:cs="Times New Roman"/>
          <w:b w:val="false"/>
          <w:bCs w:val="false"/>
          <w:sz w:val="24"/>
          <w:szCs w:val="24"/>
        </w:rPr>
        <w:t>Database Download: SKU master and outlet master data were obtained as direct downloads from the parent company's distribution management system, representing the authoritative reference data for product and retail account information.</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23" w:name="__RefHeading___Toc2716_4269637869"/>
      <w:bookmarkEnd w:id="23"/>
      <w:r>
        <w:rPr>
          <w:rFonts w:eastAsia="Times New Roman" w:cs="Times New Roman"/>
          <w:b/>
          <w:bCs/>
          <w:sz w:val="24"/>
          <w:szCs w:val="24"/>
        </w:rPr>
        <w:t>3.6  Data Collection Instrument</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primary data collection instrument for this study is the custom-built distribution management and analytics system developed by the researcher. This system comprises three functional modules: (a) an order entry interface used by sales executives to record retailer orders, (b) a stock visibility module that retrieves and displays current inventory levels from the company's ERP portal, and (c) a one-click order placement module that formats and dispatches consolidated purchase orders to the parent company. The system was built using AI-assisted development tools, with all architectural, integration, and design decisions made by the researcher.</w:t>
      </w:r>
    </w:p>
    <w:p>
      <w:pPr>
        <w:pStyle w:val="Normal"/>
        <w:spacing w:lineRule="auto" w:line="480" w:before="0" w:after="200"/>
        <w:ind w:firstLine="720"/>
        <w:jc w:val="both"/>
        <w:rPr>
          <w:sz w:val="24"/>
          <w:szCs w:val="24"/>
        </w:rPr>
      </w:pPr>
      <w:r>
        <w:rPr>
          <w:rFonts w:eastAsia="Times New Roman" w:cs="Times New Roman"/>
          <w:b w:val="false"/>
          <w:bCs w:val="false"/>
          <w:sz w:val="24"/>
          <w:szCs w:val="24"/>
        </w:rPr>
        <w:t>For secondary data, the collection instruments are the export and download functions of the firm's ERP software and the parent company's ERP portal, which provided structured, machine-readable data files in Excel format. All data files were subjected to a systematic cleaning and anonymization protocol prior to analysis, implemented using Python scripts developed by the researcher.</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24" w:name="__RefHeading___Toc2718_4269637869"/>
      <w:bookmarkEnd w:id="24"/>
      <w:r>
        <w:rPr>
          <w:rFonts w:eastAsia="Times New Roman" w:cs="Times New Roman"/>
          <w:b/>
          <w:bCs/>
          <w:sz w:val="24"/>
          <w:szCs w:val="24"/>
        </w:rPr>
        <w:t>3.7  Sample Size</w:t>
      </w:r>
    </w:p>
    <w:p>
      <w:pPr>
        <w:pStyle w:val="Normal"/>
        <w:spacing w:lineRule="auto" w:line="480" w:before="0" w:after="200"/>
        <w:ind w:firstLine="720"/>
        <w:jc w:val="both"/>
        <w:rPr>
          <w:sz w:val="24"/>
          <w:szCs w:val="24"/>
        </w:rPr>
      </w:pPr>
      <w:r>
        <w:rPr>
          <w:rFonts w:eastAsia="Times New Roman" w:cs="Times New Roman"/>
          <w:b w:val="false"/>
          <w:bCs w:val="false"/>
          <w:sz w:val="24"/>
          <w:szCs w:val="24"/>
        </w:rPr>
        <w:t>Given the complete enumeration approach described below, the dataset used in this study comprises all available records from the relevant operational systems. The following table summarizes the sample size across each dataset:</w:t>
      </w:r>
    </w:p>
    <w:p>
      <w:pPr>
        <w:pStyle w:val="Normal"/>
        <w:spacing w:lineRule="auto" w:line="480"/>
        <w:rPr>
          <w:sz w:val="24"/>
          <w:szCs w:val="24"/>
        </w:rPr>
      </w:pPr>
      <w:r>
        <w:rPr>
          <w:sz w:val="24"/>
          <w:szCs w:val="24"/>
        </w:rPr>
      </w:r>
    </w:p>
    <w:tbl>
      <w:tblPr>
        <w:tblW w:w="9360" w:type="dxa"/>
        <w:jc w:val="start"/>
        <w:tblInd w:w="0" w:type="dxa"/>
        <w:tblLayout w:type="fixed"/>
        <w:tblCellMar>
          <w:top w:w="80" w:type="dxa"/>
          <w:start w:w="120" w:type="dxa"/>
          <w:bottom w:w="80" w:type="dxa"/>
          <w:end w:w="120" w:type="dxa"/>
        </w:tblCellMar>
      </w:tblPr>
      <w:tblGrid>
        <w:gridCol w:w="2998"/>
        <w:gridCol w:w="6362"/>
      </w:tblGrid>
      <w:tr>
        <w:trPr/>
        <w:tc>
          <w:tcPr>
            <w:tcW w:w="2998" w:type="dxa"/>
            <w:tcBorders>
              <w:top w:val="single" w:sz="2" w:space="0" w:color="CCCCCC"/>
              <w:start w:val="single" w:sz="2" w:space="0" w:color="CCCCCC"/>
              <w:bottom w:val="single" w:sz="2" w:space="0" w:color="CCCCCC"/>
              <w:end w:val="single" w:sz="2" w:space="0" w:color="CCCCCC"/>
            </w:tcBorders>
            <w:shd w:fill="D9E1F2" w:val="clear"/>
          </w:tcPr>
          <w:p>
            <w:pPr>
              <w:pStyle w:val="Normal"/>
              <w:rPr>
                <w:sz w:val="24"/>
                <w:szCs w:val="24"/>
              </w:rPr>
            </w:pPr>
            <w:r>
              <w:rPr>
                <w:rFonts w:eastAsia="Times New Roman" w:cs="Times New Roman"/>
                <w:b/>
                <w:bCs/>
                <w:sz w:val="24"/>
                <w:szCs w:val="24"/>
              </w:rPr>
              <w:t>Dataset</w:t>
            </w:r>
          </w:p>
        </w:tc>
        <w:tc>
          <w:tcPr>
            <w:tcW w:w="6362" w:type="dxa"/>
            <w:tcBorders>
              <w:top w:val="single" w:sz="2" w:space="0" w:color="CCCCCC"/>
              <w:start w:val="single" w:sz="2" w:space="0" w:color="CCCCCC"/>
              <w:bottom w:val="single" w:sz="2" w:space="0" w:color="CCCCCC"/>
              <w:end w:val="single" w:sz="2" w:space="0" w:color="CCCCCC"/>
            </w:tcBorders>
            <w:shd w:fill="D9E1F2" w:val="clear"/>
          </w:tcPr>
          <w:p>
            <w:pPr>
              <w:pStyle w:val="Normal"/>
              <w:rPr>
                <w:sz w:val="24"/>
                <w:szCs w:val="24"/>
              </w:rPr>
            </w:pPr>
            <w:r>
              <w:rPr>
                <w:rFonts w:eastAsia="Times New Roman" w:cs="Times New Roman"/>
                <w:b/>
                <w:bCs/>
                <w:sz w:val="24"/>
                <w:szCs w:val="24"/>
              </w:rPr>
              <w:t>Records / Size</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Pr>
          <w:p>
            <w:pPr>
              <w:pStyle w:val="Normal"/>
              <w:rPr>
                <w:sz w:val="24"/>
                <w:szCs w:val="24"/>
              </w:rPr>
            </w:pPr>
            <w:r>
              <w:rPr>
                <w:rFonts w:eastAsia="Times New Roman" w:cs="Times New Roman"/>
                <w:b w:val="false"/>
                <w:bCs w:val="false"/>
                <w:sz w:val="24"/>
                <w:szCs w:val="24"/>
              </w:rPr>
              <w:t>App order data</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rPr>
                <w:sz w:val="24"/>
                <w:szCs w:val="24"/>
              </w:rPr>
            </w:pPr>
            <w:r>
              <w:rPr>
                <w:rFonts w:eastAsia="Times New Roman" w:cs="Times New Roman"/>
                <w:b w:val="false"/>
                <w:bCs w:val="false"/>
                <w:sz w:val="24"/>
                <w:szCs w:val="24"/>
              </w:rPr>
              <w:t>2,558 line items | 80 unique orders | 32 retail accounts | Nov 2025 – Mar 2026</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Pr>
          <w:p>
            <w:pPr>
              <w:pStyle w:val="Normal"/>
              <w:rPr>
                <w:sz w:val="24"/>
                <w:szCs w:val="24"/>
              </w:rPr>
            </w:pPr>
            <w:r>
              <w:rPr>
                <w:rFonts w:eastAsia="Times New Roman" w:cs="Times New Roman"/>
                <w:b w:val="false"/>
                <w:bCs w:val="false"/>
                <w:sz w:val="24"/>
                <w:szCs w:val="24"/>
              </w:rPr>
              <w:t>Sales billing data</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rPr>
                <w:sz w:val="24"/>
                <w:szCs w:val="24"/>
              </w:rPr>
            </w:pPr>
            <w:r>
              <w:rPr>
                <w:rFonts w:eastAsia="Times New Roman" w:cs="Times New Roman"/>
                <w:b w:val="false"/>
                <w:bCs w:val="false"/>
                <w:sz w:val="24"/>
                <w:szCs w:val="24"/>
              </w:rPr>
              <w:t>13,290 line items | 468 invoices | 46 retail accounts | Jun 2023 – Mar 2026</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Pr>
          <w:p>
            <w:pPr>
              <w:pStyle w:val="Normal"/>
              <w:rPr>
                <w:sz w:val="24"/>
                <w:szCs w:val="24"/>
              </w:rPr>
            </w:pPr>
            <w:r>
              <w:rPr>
                <w:rFonts w:eastAsia="Times New Roman" w:cs="Times New Roman"/>
                <w:b w:val="false"/>
                <w:bCs w:val="false"/>
                <w:sz w:val="24"/>
                <w:szCs w:val="24"/>
              </w:rPr>
              <w:t>Purchase data</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rPr>
                <w:sz w:val="24"/>
                <w:szCs w:val="24"/>
              </w:rPr>
            </w:pPr>
            <w:r>
              <w:rPr>
                <w:rFonts w:eastAsia="Times New Roman" w:cs="Times New Roman"/>
                <w:b w:val="false"/>
                <w:bCs w:val="false"/>
                <w:sz w:val="24"/>
                <w:szCs w:val="24"/>
              </w:rPr>
              <w:t>10,071 line items | 428 invoices | Nov 2023 – Mar 2026</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Pr>
          <w:p>
            <w:pPr>
              <w:pStyle w:val="Normal"/>
              <w:rPr>
                <w:sz w:val="24"/>
                <w:szCs w:val="24"/>
              </w:rPr>
            </w:pPr>
            <w:r>
              <w:rPr>
                <w:rFonts w:eastAsia="Times New Roman" w:cs="Times New Roman"/>
                <w:b w:val="false"/>
                <w:bCs w:val="false"/>
                <w:sz w:val="24"/>
                <w:szCs w:val="24"/>
              </w:rPr>
              <w:t>Stock snapshots</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rPr>
                <w:sz w:val="24"/>
                <w:szCs w:val="24"/>
              </w:rPr>
            </w:pPr>
            <w:r>
              <w:rPr>
                <w:rFonts w:eastAsia="Times New Roman" w:cs="Times New Roman"/>
                <w:b w:val="false"/>
                <w:bCs w:val="false"/>
                <w:sz w:val="24"/>
                <w:szCs w:val="24"/>
              </w:rPr>
              <w:t>99,252 records | 132 usable snapshots | 136 total files | Nov 2025 – Mar 2026</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Pr>
          <w:p>
            <w:pPr>
              <w:pStyle w:val="Normal"/>
              <w:rPr>
                <w:sz w:val="24"/>
                <w:szCs w:val="24"/>
              </w:rPr>
            </w:pPr>
            <w:r>
              <w:rPr>
                <w:rFonts w:eastAsia="Times New Roman" w:cs="Times New Roman"/>
                <w:b w:val="false"/>
                <w:bCs w:val="false"/>
                <w:sz w:val="24"/>
                <w:szCs w:val="24"/>
              </w:rPr>
              <w:t>SKU master</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rPr>
                <w:sz w:val="24"/>
                <w:szCs w:val="24"/>
              </w:rPr>
            </w:pPr>
            <w:r>
              <w:rPr>
                <w:rFonts w:eastAsia="Times New Roman" w:cs="Times New Roman"/>
                <w:b w:val="false"/>
                <w:bCs w:val="false"/>
                <w:sz w:val="24"/>
                <w:szCs w:val="24"/>
              </w:rPr>
              <w:t>5,363 unique SKU entries | 170 style codes | 8 categories</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Pr>
          <w:p>
            <w:pPr>
              <w:pStyle w:val="Normal"/>
              <w:rPr>
                <w:sz w:val="24"/>
                <w:szCs w:val="24"/>
              </w:rPr>
            </w:pPr>
            <w:r>
              <w:rPr>
                <w:rFonts w:eastAsia="Times New Roman" w:cs="Times New Roman"/>
                <w:b w:val="false"/>
                <w:bCs w:val="false"/>
                <w:sz w:val="24"/>
                <w:szCs w:val="24"/>
              </w:rPr>
              <w:t>Outlet master</w:t>
            </w:r>
          </w:p>
        </w:tc>
        <w:tc>
          <w:tcPr>
            <w:tcW w:w="6362" w:type="dxa"/>
            <w:tcBorders>
              <w:top w:val="single" w:sz="2" w:space="0" w:color="CCCCCC"/>
              <w:start w:val="single" w:sz="2" w:space="0" w:color="CCCCCC"/>
              <w:bottom w:val="single" w:sz="2" w:space="0" w:color="CCCCCC"/>
              <w:end w:val="single" w:sz="2" w:space="0" w:color="CCCCCC"/>
            </w:tcBorders>
            <w:shd w:fill="FFFFFF" w:val="clear"/>
          </w:tcPr>
          <w:p>
            <w:pPr>
              <w:pStyle w:val="Normal"/>
              <w:rPr>
                <w:sz w:val="24"/>
                <w:szCs w:val="24"/>
              </w:rPr>
            </w:pPr>
            <w:r>
              <w:rPr>
                <w:rFonts w:eastAsia="Times New Roman" w:cs="Times New Roman"/>
                <w:b w:val="false"/>
                <w:bCs w:val="false"/>
                <w:sz w:val="24"/>
                <w:szCs w:val="24"/>
              </w:rPr>
              <w:t>106 registered outlets | 45 active | 16 sales beats</w:t>
            </w:r>
          </w:p>
        </w:tc>
      </w:tr>
    </w:tbl>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rFonts w:eastAsia="Times New Roman" w:cs="Times New Roman"/>
          <w:b w:val="false"/>
          <w:bCs w:val="false"/>
          <w:sz w:val="24"/>
          <w:szCs w:val="24"/>
        </w:rPr>
        <w:t>For the demand forecasting model, the effective training dataset consists of monthly aggregated billing quantities at the SKU level, derived from the sales billing data covering June 2023 to March 2026 — a period of approximately 33 months, sufficient for identifying seasonal patterns and year-on-year trends for high-velocity SKUs.</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25" w:name="__RefHeading___Toc2720_4269637869"/>
      <w:bookmarkEnd w:id="25"/>
      <w:r>
        <w:rPr>
          <w:rFonts w:eastAsia="Times New Roman" w:cs="Times New Roman"/>
          <w:b/>
          <w:bCs/>
          <w:sz w:val="24"/>
          <w:szCs w:val="24"/>
        </w:rPr>
        <w:t>3.8  Sampling Technique</w:t>
      </w:r>
    </w:p>
    <w:p>
      <w:pPr>
        <w:pStyle w:val="Normal"/>
        <w:spacing w:lineRule="auto" w:line="480" w:before="0" w:after="200"/>
        <w:ind w:firstLine="720"/>
        <w:jc w:val="both"/>
        <w:rPr>
          <w:sz w:val="24"/>
          <w:szCs w:val="24"/>
        </w:rPr>
      </w:pPr>
      <w:r>
        <w:rPr>
          <w:rFonts w:eastAsia="Times New Roman" w:cs="Times New Roman"/>
          <w:b w:val="false"/>
          <w:bCs w:val="false"/>
          <w:sz w:val="24"/>
          <w:szCs w:val="24"/>
        </w:rPr>
        <w:t>This study employs a census sampling approach — also known as complete enumeration — in which all available records from each data source are included in the analysis rather than a statistical sample. This approach is appropriate for the present study for three reasons.</w:t>
      </w:r>
    </w:p>
    <w:p>
      <w:pPr>
        <w:pStyle w:val="Normal"/>
        <w:spacing w:lineRule="auto" w:line="480" w:before="0" w:after="200"/>
        <w:ind w:firstLine="720"/>
        <w:jc w:val="both"/>
        <w:rPr>
          <w:sz w:val="24"/>
          <w:szCs w:val="24"/>
        </w:rPr>
      </w:pPr>
      <w:r>
        <w:rPr>
          <w:rFonts w:eastAsia="Times New Roman" w:cs="Times New Roman"/>
          <w:b w:val="false"/>
          <w:bCs w:val="false"/>
          <w:sz w:val="24"/>
          <w:szCs w:val="24"/>
        </w:rPr>
        <w:t>First, the total population of transactions in the study context is finite and relatively small — the firm processes a manageable number of invoices and order transactions per month — making complete enumeration feasible without computational constraint.</w:t>
      </w:r>
    </w:p>
    <w:p>
      <w:pPr>
        <w:pStyle w:val="Normal"/>
        <w:spacing w:lineRule="auto" w:line="480" w:before="0" w:after="200"/>
        <w:ind w:firstLine="720"/>
        <w:jc w:val="both"/>
        <w:rPr>
          <w:sz w:val="24"/>
          <w:szCs w:val="24"/>
        </w:rPr>
      </w:pPr>
      <w:r>
        <w:rPr>
          <w:rFonts w:eastAsia="Times New Roman" w:cs="Times New Roman"/>
          <w:b w:val="false"/>
          <w:bCs w:val="false"/>
          <w:sz w:val="24"/>
          <w:szCs w:val="24"/>
        </w:rPr>
        <w:t>Second, the analytical objectives of the study, particularly demand forecasting at the SKU level, require the maximum available data to produce reliable outputs. Sampling from an already limited time series would further reduce the statistical power of the forecasting model.</w:t>
      </w:r>
    </w:p>
    <w:p>
      <w:pPr>
        <w:pStyle w:val="Normal"/>
        <w:spacing w:lineRule="auto" w:line="480" w:before="0" w:after="200"/>
        <w:ind w:firstLine="720"/>
        <w:jc w:val="both"/>
        <w:rPr>
          <w:sz w:val="24"/>
          <w:szCs w:val="24"/>
        </w:rPr>
      </w:pPr>
      <w:r>
        <w:rPr>
          <w:rFonts w:eastAsia="Times New Roman" w:cs="Times New Roman"/>
          <w:b w:val="false"/>
          <w:bCs w:val="false"/>
          <w:sz w:val="24"/>
          <w:szCs w:val="24"/>
        </w:rPr>
        <w:t>Third, since the data is system-generated rather than survey-based, issues of respondent burden and sampling cost — the primary practical drivers of sampling in social science research — do not apply. Complete data extraction from digital systems incurs no meaningful additional cost over partial extraction.</w:t>
      </w:r>
    </w:p>
    <w:p>
      <w:pPr>
        <w:pStyle w:val="Normal"/>
        <w:spacing w:lineRule="auto" w:line="480" w:before="0" w:after="200"/>
        <w:ind w:firstLine="720"/>
        <w:jc w:val="both"/>
        <w:rPr>
          <w:sz w:val="24"/>
          <w:szCs w:val="24"/>
        </w:rPr>
      </w:pPr>
      <w:r>
        <w:rPr>
          <w:rFonts w:eastAsia="Times New Roman" w:cs="Times New Roman"/>
          <w:b w:val="false"/>
          <w:bCs w:val="false"/>
          <w:sz w:val="24"/>
          <w:szCs w:val="24"/>
        </w:rPr>
        <w:t>It is acknowledged that the study period, while the longest available given the firm's operational history, represents a relatively short time series for some analytical purposes. This limitation is discussed further in Chapter 6.</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26" w:name="__RefHeading___Toc2722_4269637869"/>
      <w:bookmarkEnd w:id="26"/>
      <w:r>
        <w:rPr>
          <w:rFonts w:eastAsia="Times New Roman" w:cs="Times New Roman"/>
          <w:b/>
          <w:bCs/>
          <w:sz w:val="24"/>
          <w:szCs w:val="24"/>
        </w:rPr>
        <w:t>3.9  Data Analysis Tool</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primary data analysis tool used in this study is Python (version 3.13), implemented within the Jupyter Notebook environment. Python was selected for its extensive ecosystem of data analysis libraries, its widespread use in academic and industry data science contexts, and its accessibility as an open-source tool appropriate for SME-scale analytical projects.</w:t>
      </w:r>
    </w:p>
    <w:p>
      <w:pPr>
        <w:pStyle w:val="Normal"/>
        <w:spacing w:lineRule="auto" w:line="480" w:before="0" w:after="200"/>
        <w:ind w:firstLine="720"/>
        <w:jc w:val="both"/>
        <w:rPr>
          <w:sz w:val="24"/>
          <w:szCs w:val="24"/>
        </w:rPr>
      </w:pPr>
      <w:r>
        <w:rPr>
          <w:rFonts w:eastAsia="Times New Roman" w:cs="Times New Roman"/>
          <w:b w:val="false"/>
          <w:bCs w:val="false"/>
          <w:sz w:val="24"/>
          <w:szCs w:val="24"/>
        </w:rPr>
        <w:t>The following Python libraries are used in the analysis:</w:t>
      </w:r>
    </w:p>
    <w:p>
      <w:pPr>
        <w:pStyle w:val="ListParagraph"/>
        <w:numPr>
          <w:ilvl w:val="0"/>
          <w:numId w:val="4"/>
        </w:numPr>
        <w:spacing w:lineRule="auto" w:line="480" w:before="0" w:after="120"/>
        <w:rPr>
          <w:sz w:val="24"/>
          <w:szCs w:val="24"/>
        </w:rPr>
      </w:pPr>
      <w:r>
        <w:rPr>
          <w:rFonts w:eastAsia="Times New Roman" w:cs="Times New Roman"/>
          <w:sz w:val="24"/>
          <w:szCs w:val="24"/>
        </w:rPr>
        <w:t>pandas: For data loading, cleaning, transformation, merging, and aggregation across all datasets.</w:t>
      </w:r>
    </w:p>
    <w:p>
      <w:pPr>
        <w:pStyle w:val="ListParagraph"/>
        <w:numPr>
          <w:ilvl w:val="0"/>
          <w:numId w:val="4"/>
        </w:numPr>
        <w:spacing w:lineRule="auto" w:line="480" w:before="0" w:after="120"/>
        <w:rPr>
          <w:sz w:val="24"/>
          <w:szCs w:val="24"/>
        </w:rPr>
      </w:pPr>
      <w:r>
        <w:rPr>
          <w:rFonts w:eastAsia="Times New Roman" w:cs="Times New Roman"/>
          <w:sz w:val="24"/>
          <w:szCs w:val="24"/>
        </w:rPr>
        <w:t>numpy: For numerical computations and array operations.</w:t>
      </w:r>
    </w:p>
    <w:p>
      <w:pPr>
        <w:pStyle w:val="ListParagraph"/>
        <w:numPr>
          <w:ilvl w:val="0"/>
          <w:numId w:val="4"/>
        </w:numPr>
        <w:spacing w:lineRule="auto" w:line="480" w:before="0" w:after="120"/>
        <w:rPr>
          <w:sz w:val="24"/>
          <w:szCs w:val="24"/>
        </w:rPr>
      </w:pPr>
      <w:r>
        <w:rPr>
          <w:rFonts w:eastAsia="Times New Roman" w:cs="Times New Roman"/>
          <w:sz w:val="24"/>
          <w:szCs w:val="24"/>
        </w:rPr>
        <w:t>matplotlib and seaborn: For data visualization, including time series plots, bar charts, heatmaps, and distribution plots presented in Chapter 4.</w:t>
      </w:r>
    </w:p>
    <w:p>
      <w:pPr>
        <w:pStyle w:val="ListParagraph"/>
        <w:numPr>
          <w:ilvl w:val="0"/>
          <w:numId w:val="4"/>
        </w:numPr>
        <w:spacing w:lineRule="auto" w:line="480" w:before="0" w:after="120"/>
        <w:rPr>
          <w:sz w:val="24"/>
          <w:szCs w:val="24"/>
        </w:rPr>
      </w:pPr>
      <w:r>
        <w:rPr>
          <w:rFonts w:eastAsia="Times New Roman" w:cs="Times New Roman"/>
          <w:sz w:val="24"/>
          <w:szCs w:val="24"/>
        </w:rPr>
        <w:t>scikit-learn: For implementing linear regression and evaluating model performance metrics including Mean Absolute Error (MAE), Root Mean Squared Error (RMSE), and R-squared.</w:t>
      </w:r>
    </w:p>
    <w:p>
      <w:pPr>
        <w:pStyle w:val="ListParagraph"/>
        <w:numPr>
          <w:ilvl w:val="0"/>
          <w:numId w:val="4"/>
        </w:numPr>
        <w:spacing w:lineRule="auto" w:line="480" w:before="0" w:after="120"/>
        <w:rPr>
          <w:sz w:val="24"/>
          <w:szCs w:val="24"/>
        </w:rPr>
      </w:pPr>
      <w:r>
        <w:rPr>
          <w:rFonts w:eastAsia="Times New Roman" w:cs="Times New Roman"/>
          <w:sz w:val="24"/>
          <w:szCs w:val="24"/>
        </w:rPr>
        <w:t>statsmodels: For time series decomposition and ARIMA modeling in the demand forecasting component.</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rFonts w:eastAsia="Times New Roman" w:cs="Times New Roman"/>
          <w:b w:val="false"/>
          <w:bCs w:val="false"/>
          <w:sz w:val="24"/>
          <w:szCs w:val="24"/>
        </w:rPr>
        <w:t>Prior to analysis, all datasets were subjected to a systematic data cleaning protocol implemented in Python, which addressed the following: removal of test and debug records from app order data; standardization of product description fields into structured Style, Color, and Size columns; anonymization of retailer names, style codes, and supplier identities to protect business confidentiality; correction of barcode fields stored in scientific notation format; tagging and exclusion of zero-stock synchronization snapshots from inventory analysis; and resolution of duplicate records across all files.</w:t>
      </w:r>
    </w:p>
    <w:p>
      <w:pPr>
        <w:pStyle w:val="Normal"/>
        <w:spacing w:lineRule="auto" w:line="480" w:before="0" w:after="200"/>
        <w:ind w:firstLine="720"/>
        <w:jc w:val="both"/>
        <w:rPr>
          <w:sz w:val="24"/>
          <w:szCs w:val="24"/>
        </w:rPr>
      </w:pPr>
      <w:r>
        <w:rPr>
          <w:rFonts w:eastAsia="Times New Roman" w:cs="Times New Roman"/>
          <w:b w:val="false"/>
          <w:bCs w:val="false"/>
          <w:sz w:val="24"/>
          <w:szCs w:val="24"/>
        </w:rPr>
        <w:t>All analytical outputs — including charts, summary tables, and model evaluation metrics — are presented in Chapter 4. The complete Python codebase is hosted on GitHub, with key code excerpts and all visualizations reproduced in the Appendix of this report.</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27" w:name="__RefHeading___Toc2724_4269637869"/>
      <w:bookmarkEnd w:id="27"/>
      <w:r>
        <w:rPr>
          <w:rFonts w:eastAsia="Times New Roman" w:cs="Times New Roman"/>
          <w:b/>
          <w:bCs/>
          <w:sz w:val="24"/>
          <w:szCs w:val="24"/>
        </w:rPr>
        <w:t>3.10  Data Limitations and Integrity Notes</w:t>
      </w:r>
    </w:p>
    <w:p>
      <w:pPr>
        <w:pStyle w:val="Normal"/>
        <w:spacing w:lineRule="auto" w:line="480" w:before="0" w:after="200"/>
        <w:ind w:firstLine="720"/>
        <w:jc w:val="both"/>
        <w:rPr>
          <w:sz w:val="24"/>
          <w:szCs w:val="24"/>
        </w:rPr>
      </w:pPr>
      <w:r>
        <w:rPr>
          <w:rFonts w:eastAsia="Times New Roman" w:cs="Times New Roman"/>
          <w:b w:val="false"/>
          <w:bCs w:val="false"/>
          <w:sz w:val="24"/>
          <w:szCs w:val="24"/>
        </w:rPr>
        <w:t>Several data limitations are acknowledged that bear upon the interpretation of findings in this study.</w:t>
      </w:r>
    </w:p>
    <w:p>
      <w:pPr>
        <w:pStyle w:val="Normal"/>
        <w:spacing w:lineRule="auto" w:line="480" w:before="0" w:after="200"/>
        <w:ind w:firstLine="720"/>
        <w:jc w:val="both"/>
        <w:rPr>
          <w:sz w:val="24"/>
          <w:szCs w:val="24"/>
        </w:rPr>
      </w:pPr>
      <w:r>
        <w:rPr>
          <w:rFonts w:eastAsia="Times New Roman" w:cs="Times New Roman"/>
          <w:b w:val="false"/>
          <w:bCs w:val="false"/>
          <w:sz w:val="24"/>
          <w:szCs w:val="24"/>
        </w:rPr>
        <w:t>First, the app order data covers only the period from November 28, 2025 onwards, as the structured data export feature of the distribution management system was implemented at that date. Prior to this, orders were processed without structured digital recording. This limits the app data to approximately four months of coverage, making it a supplementary rather than primary dataset for the forecasting model.</w:t>
      </w:r>
    </w:p>
    <w:p>
      <w:pPr>
        <w:pStyle w:val="Normal"/>
        <w:spacing w:lineRule="auto" w:line="480" w:before="0" w:after="200"/>
        <w:ind w:firstLine="720"/>
        <w:jc w:val="both"/>
        <w:rPr>
          <w:sz w:val="24"/>
          <w:szCs w:val="24"/>
        </w:rPr>
      </w:pPr>
      <w:r>
        <w:rPr>
          <w:rFonts w:eastAsia="Times New Roman" w:cs="Times New Roman"/>
          <w:b w:val="false"/>
          <w:bCs w:val="false"/>
          <w:sz w:val="24"/>
          <w:szCs w:val="24"/>
        </w:rPr>
        <w:t>Second, the app-recorded order data may not precisely match the ERP billing data for the same period. App entries represent demand as expressed by retailers at the point of order placement; the ERP records reflect what was actually billed, which may differ due to stock availability constraints, partial fulfillment, or order amendments. These discrepancies are treated as analytically meaningful rather than as data errors, as they illuminate the gap between demand and fulfillment — a key variable of interest in this study.</w:t>
      </w:r>
    </w:p>
    <w:p>
      <w:pPr>
        <w:pStyle w:val="Normal"/>
        <w:spacing w:lineRule="auto" w:line="480" w:before="0" w:after="200"/>
        <w:ind w:firstLine="720"/>
        <w:jc w:val="both"/>
        <w:rPr>
          <w:sz w:val="24"/>
          <w:szCs w:val="24"/>
        </w:rPr>
      </w:pPr>
      <w:r>
        <w:rPr>
          <w:rFonts w:eastAsia="Times New Roman" w:cs="Times New Roman"/>
          <w:b w:val="false"/>
          <w:bCs w:val="false"/>
          <w:sz w:val="24"/>
          <w:szCs w:val="24"/>
        </w:rPr>
        <w:t>Third, the SKU master provided by the parent company does not contain entries for all styles present in the sales and purchase data. Styles absent from the master represent discontinued products or non-catalogue items procured outside the standard ordering process. These are flagged in the analysis but not excluded, as their sales history remains operationally relevant.</w:t>
      </w:r>
    </w:p>
    <w:p>
      <w:pPr>
        <w:pStyle w:val="Normal"/>
        <w:spacing w:lineRule="auto" w:line="480" w:before="0" w:after="200"/>
        <w:ind w:firstLine="720"/>
        <w:jc w:val="both"/>
        <w:rPr>
          <w:sz w:val="24"/>
          <w:szCs w:val="24"/>
        </w:rPr>
      </w:pPr>
      <w:r>
        <w:rPr>
          <w:rFonts w:eastAsia="Times New Roman" w:cs="Times New Roman"/>
          <w:b w:val="false"/>
          <w:bCs w:val="false"/>
          <w:sz w:val="24"/>
          <w:szCs w:val="24"/>
        </w:rPr>
        <w:t>Fourth, stock snapshot data carries an inherent lag of approximately two to three business days relative to the actual warehouse position, due to the ERP portal's update frequency. Additionally, stock snapshots recorded on the first day of each month reflect a synchronization reset and have been excluded from inventory calculations.</w:t>
      </w:r>
    </w:p>
    <w:p>
      <w:pPr>
        <w:pStyle w:val="Heading1"/>
        <w:rPr>
          <w:sz w:val="24"/>
          <w:szCs w:val="24"/>
        </w:rPr>
      </w:pPr>
      <w:r>
        <w:rPr>
          <w:sz w:val="24"/>
          <w:szCs w:val="24"/>
        </w:rPr>
      </w:r>
      <w:r>
        <w:br w:type="page"/>
      </w:r>
    </w:p>
    <w:p>
      <w:pPr>
        <w:pStyle w:val="Heading1"/>
        <w:spacing w:before="0" w:after="240"/>
        <w:rPr>
          <w:sz w:val="24"/>
          <w:szCs w:val="24"/>
        </w:rPr>
      </w:pPr>
      <w:bookmarkStart w:id="28" w:name="__RefHeading___Toc2726_4269637869"/>
      <w:bookmarkEnd w:id="28"/>
      <w:r>
        <w:rPr>
          <w:sz w:val="24"/>
          <w:szCs w:val="24"/>
        </w:rPr>
        <w:t>CHAPTER 4: DATA ANALYSIS, RESULTS AND INTERPRETATION</w:t>
      </w:r>
    </w:p>
    <w:p>
      <w:pPr>
        <w:pStyle w:val="Normal"/>
        <w:spacing w:lineRule="auto" w:line="480"/>
        <w:rPr>
          <w:sz w:val="24"/>
          <w:szCs w:val="24"/>
        </w:rPr>
      </w:pPr>
      <w:r>
        <w:rPr>
          <w:sz w:val="24"/>
          <w:szCs w:val="24"/>
        </w:rPr>
      </w:r>
    </w:p>
    <w:p>
      <w:pPr>
        <w:pStyle w:val="Heading2"/>
        <w:rPr>
          <w:sz w:val="24"/>
          <w:szCs w:val="24"/>
        </w:rPr>
      </w:pPr>
      <w:bookmarkStart w:id="29" w:name="__RefHeading___Toc2728_4269637869"/>
      <w:bookmarkEnd w:id="29"/>
      <w:r>
        <w:rPr>
          <w:sz w:val="24"/>
          <w:szCs w:val="24"/>
        </w:rPr>
        <w:t>4.1  Overview of Dataset</w:t>
      </w:r>
    </w:p>
    <w:p>
      <w:pPr>
        <w:pStyle w:val="Normal"/>
        <w:spacing w:lineRule="auto" w:line="480" w:before="0" w:after="200"/>
        <w:ind w:firstLine="720"/>
        <w:jc w:val="both"/>
        <w:rPr>
          <w:sz w:val="24"/>
          <w:szCs w:val="24"/>
        </w:rPr>
      </w:pPr>
      <w:r>
        <w:rPr>
          <w:sz w:val="24"/>
          <w:szCs w:val="24"/>
        </w:rPr>
        <w:t>This chapter presents the findings of the exploratory data analysis and demand forecasting model developed as part of this project. The analysis draws on six datasets covering the period from June 2023 to March 2026: sales billing data, purchase data, app-recorded order data, daily stock snapshots, a SKU master catalogue, and an outlet master database. All datasets were subjected to a systematic cleaning and anonymization protocol prior to analysis, as described in Chapter 3. The analysis is organized into five sections: overall sales performance, product-level analysis, retailer analysis, demand pattern analysis, and the demand forecasting model evaluation.</w:t>
      </w:r>
    </w:p>
    <w:p>
      <w:pPr>
        <w:pStyle w:val="Normal"/>
        <w:spacing w:lineRule="auto" w:line="480" w:before="0" w:after="200"/>
        <w:ind w:firstLine="720"/>
        <w:jc w:val="both"/>
        <w:rPr>
          <w:sz w:val="24"/>
          <w:szCs w:val="24"/>
        </w:rPr>
      </w:pPr>
      <w:r>
        <w:rPr>
          <w:sz w:val="24"/>
          <w:szCs w:val="24"/>
        </w:rPr>
        <w:t>The key summary statistics across all datasets are presented in Table 4.1 below.</w:t>
      </w:r>
    </w:p>
    <w:p>
      <w:pPr>
        <w:pStyle w:val="Normal"/>
        <w:spacing w:lineRule="auto" w:line="480"/>
        <w:rPr>
          <w:sz w:val="24"/>
          <w:szCs w:val="24"/>
        </w:rPr>
      </w:pPr>
      <w:r>
        <w:rPr>
          <w:sz w:val="24"/>
          <w:szCs w:val="24"/>
        </w:rPr>
      </w:r>
    </w:p>
    <w:p>
      <w:pPr>
        <w:pStyle w:val="Normal"/>
        <w:spacing w:lineRule="auto" w:line="480" w:before="0" w:after="200"/>
        <w:jc w:val="both"/>
        <w:rPr>
          <w:sz w:val="24"/>
          <w:szCs w:val="24"/>
        </w:rPr>
      </w:pPr>
      <w:r>
        <w:rPr>
          <w:b/>
          <w:bCs/>
          <w:sz w:val="24"/>
          <w:szCs w:val="24"/>
        </w:rPr>
        <w:t>Table 4.1: Dataset Summary Statistics</w:t>
      </w:r>
    </w:p>
    <w:tbl>
      <w:tblPr>
        <w:tblW w:w="9360" w:type="dxa"/>
        <w:jc w:val="start"/>
        <w:tblInd w:w="0" w:type="dxa"/>
        <w:tblLayout w:type="fixed"/>
        <w:tblCellMar>
          <w:top w:w="80" w:type="dxa"/>
          <w:start w:w="120" w:type="dxa"/>
          <w:bottom w:w="80" w:type="dxa"/>
          <w:end w:w="120" w:type="dxa"/>
        </w:tblCellMar>
        <w:tblLook w:noHBand="0" w:lastColumn="0" w:firstColumn="1" w:lastRow="0" w:firstRow="1" w:noVBand="1" w:val="04a0"/>
      </w:tblPr>
      <w:tblGrid>
        <w:gridCol w:w="2198"/>
        <w:gridCol w:w="2600"/>
        <w:gridCol w:w="4562"/>
      </w:tblGrid>
      <w:tr>
        <w:trPr/>
        <w:tc>
          <w:tcPr>
            <w:tcW w:w="2198"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Dataset</w:t>
            </w:r>
          </w:p>
        </w:tc>
        <w:tc>
          <w:tcPr>
            <w:tcW w:w="260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Coverage Period</w:t>
            </w:r>
          </w:p>
        </w:tc>
        <w:tc>
          <w:tcPr>
            <w:tcW w:w="4562"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Key Volume Metric</w:t>
            </w:r>
          </w:p>
        </w:tc>
      </w:tr>
      <w:tr>
        <w:trPr/>
        <w:tc>
          <w:tcPr>
            <w:tcW w:w="219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Sales Billing Data</w:t>
            </w:r>
          </w:p>
        </w:tc>
        <w:tc>
          <w:tcPr>
            <w:tcW w:w="2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Jun 2023 – Mar 2026</w:t>
            </w:r>
          </w:p>
        </w:tc>
        <w:tc>
          <w:tcPr>
            <w:tcW w:w="456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23,785 units | 468 invoices | 46 retailers</w:t>
            </w:r>
          </w:p>
        </w:tc>
      </w:tr>
      <w:tr>
        <w:trPr/>
        <w:tc>
          <w:tcPr>
            <w:tcW w:w="2198"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Purchase Data</w:t>
            </w:r>
          </w:p>
        </w:tc>
        <w:tc>
          <w:tcPr>
            <w:tcW w:w="26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Nov 2023 – Mar 2026</w:t>
            </w:r>
          </w:p>
        </w:tc>
        <w:tc>
          <w:tcPr>
            <w:tcW w:w="456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23,927 units | 428 invoices</w:t>
            </w:r>
          </w:p>
        </w:tc>
      </w:tr>
      <w:tr>
        <w:trPr/>
        <w:tc>
          <w:tcPr>
            <w:tcW w:w="219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App Order Data</w:t>
            </w:r>
          </w:p>
        </w:tc>
        <w:tc>
          <w:tcPr>
            <w:tcW w:w="2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Nov 2025 – Mar 2026</w:t>
            </w:r>
          </w:p>
        </w:tc>
        <w:tc>
          <w:tcPr>
            <w:tcW w:w="456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3,970 units | 70 orders | 32 retailers</w:t>
            </w:r>
          </w:p>
        </w:tc>
      </w:tr>
      <w:tr>
        <w:trPr/>
        <w:tc>
          <w:tcPr>
            <w:tcW w:w="2198"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Stock Snapshots</w:t>
            </w:r>
          </w:p>
        </w:tc>
        <w:tc>
          <w:tcPr>
            <w:tcW w:w="26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Nov 2025 – Mar 2026</w:t>
            </w:r>
          </w:p>
        </w:tc>
        <w:tc>
          <w:tcPr>
            <w:tcW w:w="456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132 usable snapshots | 954 SKUs tracked</w:t>
            </w:r>
          </w:p>
        </w:tc>
      </w:tr>
      <w:tr>
        <w:trPr/>
        <w:tc>
          <w:tcPr>
            <w:tcW w:w="219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SKU Master</w:t>
            </w:r>
          </w:p>
        </w:tc>
        <w:tc>
          <w:tcPr>
            <w:tcW w:w="2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w:t>
            </w:r>
          </w:p>
        </w:tc>
        <w:tc>
          <w:tcPr>
            <w:tcW w:w="456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5,363 entries | 170 styles | 8 categories</w:t>
            </w:r>
          </w:p>
        </w:tc>
      </w:tr>
      <w:tr>
        <w:trPr/>
        <w:tc>
          <w:tcPr>
            <w:tcW w:w="2198"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Outlet Master</w:t>
            </w:r>
          </w:p>
        </w:tc>
        <w:tc>
          <w:tcPr>
            <w:tcW w:w="26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w:t>
            </w:r>
          </w:p>
        </w:tc>
        <w:tc>
          <w:tcPr>
            <w:tcW w:w="456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107 outlets | 46 active | 13 beats</w:t>
            </w:r>
          </w:p>
        </w:tc>
      </w:tr>
    </w:tbl>
    <w:p>
      <w:pPr>
        <w:pStyle w:val="Normal"/>
        <w:spacing w:lineRule="auto" w:line="480"/>
        <w:rPr>
          <w:sz w:val="24"/>
          <w:szCs w:val="24"/>
        </w:rPr>
      </w:pPr>
      <w:r>
        <w:rPr>
          <w:sz w:val="24"/>
          <w:szCs w:val="24"/>
        </w:rPr>
      </w:r>
    </w:p>
    <w:p>
      <w:pPr>
        <w:pStyle w:val="Heading2"/>
        <w:rPr>
          <w:sz w:val="24"/>
          <w:szCs w:val="24"/>
        </w:rPr>
      </w:pPr>
      <w:r>
        <w:rPr>
          <w:sz w:val="24"/>
          <w:szCs w:val="24"/>
        </w:rPr>
      </w:r>
    </w:p>
    <w:p>
      <w:pPr>
        <w:pStyle w:val="Heading2"/>
        <w:rPr>
          <w:sz w:val="24"/>
          <w:szCs w:val="24"/>
        </w:rPr>
      </w:pPr>
      <w:bookmarkStart w:id="30" w:name="__RefHeading___Toc2730_4269637869"/>
      <w:bookmarkEnd w:id="30"/>
      <w:r>
        <w:rPr>
          <w:sz w:val="24"/>
          <w:szCs w:val="24"/>
        </w:rPr>
        <w:t>4.2  Overall Sales Performance Analysis</w:t>
      </w:r>
    </w:p>
    <w:p>
      <w:pPr>
        <w:pStyle w:val="Heading3"/>
        <w:rPr>
          <w:sz w:val="24"/>
          <w:szCs w:val="24"/>
        </w:rPr>
      </w:pPr>
      <w:bookmarkStart w:id="31" w:name="__RefHeading___Toc2732_4269637869"/>
      <w:bookmarkEnd w:id="31"/>
      <w:r>
        <w:rPr>
          <w:sz w:val="24"/>
          <w:szCs w:val="24"/>
        </w:rPr>
        <w:t>4.2.1  Financial Year-Wise Performance</w:t>
      </w:r>
    </w:p>
    <w:p>
      <w:pPr>
        <w:pStyle w:val="Normal"/>
        <w:spacing w:lineRule="auto" w:line="480" w:before="0" w:after="200"/>
        <w:ind w:firstLine="720"/>
        <w:jc w:val="both"/>
        <w:rPr>
          <w:sz w:val="24"/>
          <w:szCs w:val="24"/>
        </w:rPr>
      </w:pPr>
      <w:r>
        <w:rPr>
          <w:sz w:val="24"/>
          <w:szCs w:val="24"/>
        </w:rPr>
        <w:t>Sales performance showed consistent year-on-year growth across all three financial years covered by the study. Table 4.2 presents the financial year-wise breakdown of sales volume, value, and invoice count.</w:t>
      </w:r>
    </w:p>
    <w:p>
      <w:pPr>
        <w:pStyle w:val="Normal"/>
        <w:spacing w:lineRule="auto" w:line="480"/>
        <w:rPr>
          <w:sz w:val="24"/>
          <w:szCs w:val="24"/>
        </w:rPr>
      </w:pPr>
      <w:r>
        <w:rPr>
          <w:sz w:val="24"/>
          <w:szCs w:val="24"/>
        </w:rPr>
      </w:r>
    </w:p>
    <w:p>
      <w:pPr>
        <w:pStyle w:val="Normal"/>
        <w:spacing w:lineRule="auto" w:line="480" w:before="0" w:after="200"/>
        <w:jc w:val="both"/>
        <w:rPr>
          <w:sz w:val="24"/>
          <w:szCs w:val="24"/>
        </w:rPr>
      </w:pPr>
      <w:r>
        <w:rPr>
          <w:b/>
          <w:bCs/>
          <w:sz w:val="24"/>
          <w:szCs w:val="24"/>
        </w:rPr>
        <w:t>Table 4.2: Financial Year-Wise Sales Performance</w:t>
      </w:r>
    </w:p>
    <w:tbl>
      <w:tblPr>
        <w:tblW w:w="9360" w:type="dxa"/>
        <w:jc w:val="start"/>
        <w:tblInd w:w="0" w:type="dxa"/>
        <w:tblLayout w:type="fixed"/>
        <w:tblCellMar>
          <w:top w:w="80" w:type="dxa"/>
          <w:start w:w="120" w:type="dxa"/>
          <w:bottom w:w="80" w:type="dxa"/>
          <w:end w:w="120" w:type="dxa"/>
        </w:tblCellMar>
        <w:tblLook w:noHBand="0" w:lastColumn="0" w:firstColumn="1" w:lastRow="0" w:firstRow="1" w:noVBand="1" w:val="04a0"/>
      </w:tblPr>
      <w:tblGrid>
        <w:gridCol w:w="2000"/>
        <w:gridCol w:w="2000"/>
        <w:gridCol w:w="2200"/>
        <w:gridCol w:w="1658"/>
        <w:gridCol w:w="1502"/>
      </w:tblGrid>
      <w:tr>
        <w:trPr/>
        <w:tc>
          <w:tcPr>
            <w:tcW w:w="200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Financial Year</w:t>
            </w:r>
          </w:p>
        </w:tc>
        <w:tc>
          <w:tcPr>
            <w:tcW w:w="200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Units Sold</w:t>
            </w:r>
          </w:p>
        </w:tc>
        <w:tc>
          <w:tcPr>
            <w:tcW w:w="220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Sales Value</w:t>
            </w:r>
          </w:p>
        </w:tc>
        <w:tc>
          <w:tcPr>
            <w:tcW w:w="1658"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Invoices</w:t>
            </w:r>
          </w:p>
        </w:tc>
        <w:tc>
          <w:tcPr>
            <w:tcW w:w="1502"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Unique SKUs</w:t>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FY 2023-24</w:t>
            </w:r>
          </w:p>
        </w:tc>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7,041</w:t>
            </w:r>
          </w:p>
        </w:tc>
        <w:tc>
          <w:tcPr>
            <w:tcW w:w="22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w:t>
            </w:r>
            <w:r>
              <w:rPr>
                <w:color w:val="000000"/>
                <w:sz w:val="24"/>
                <w:szCs w:val="24"/>
              </w:rPr>
              <w:t>40.77 Lakhs</w:t>
            </w:r>
          </w:p>
        </w:tc>
        <w:tc>
          <w:tcPr>
            <w:tcW w:w="165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158</w:t>
            </w:r>
          </w:p>
        </w:tc>
        <w:tc>
          <w:tcPr>
            <w:tcW w:w="150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1,565</w:t>
            </w:r>
          </w:p>
        </w:tc>
      </w:tr>
      <w:tr>
        <w:trPr/>
        <w:tc>
          <w:tcPr>
            <w:tcW w:w="20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FY 2024-25</w:t>
            </w:r>
          </w:p>
        </w:tc>
        <w:tc>
          <w:tcPr>
            <w:tcW w:w="20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7,687</w:t>
            </w:r>
          </w:p>
        </w:tc>
        <w:tc>
          <w:tcPr>
            <w:tcW w:w="22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w:t>
            </w:r>
            <w:r>
              <w:rPr>
                <w:color w:val="000000"/>
                <w:sz w:val="24"/>
                <w:szCs w:val="24"/>
              </w:rPr>
              <w:t>42.41 Lakhs</w:t>
            </w:r>
          </w:p>
        </w:tc>
        <w:tc>
          <w:tcPr>
            <w:tcW w:w="1658"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298</w:t>
            </w:r>
          </w:p>
        </w:tc>
        <w:tc>
          <w:tcPr>
            <w:tcW w:w="150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1,259</w:t>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FY 2025-26</w:t>
            </w:r>
          </w:p>
        </w:tc>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9,057</w:t>
            </w:r>
          </w:p>
        </w:tc>
        <w:tc>
          <w:tcPr>
            <w:tcW w:w="22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w:t>
            </w:r>
            <w:r>
              <w:rPr>
                <w:color w:val="000000"/>
                <w:sz w:val="24"/>
                <w:szCs w:val="24"/>
              </w:rPr>
              <w:t>54.39 Lakhs</w:t>
            </w:r>
          </w:p>
        </w:tc>
        <w:tc>
          <w:tcPr>
            <w:tcW w:w="165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342</w:t>
            </w:r>
          </w:p>
        </w:tc>
        <w:tc>
          <w:tcPr>
            <w:tcW w:w="150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1,383</w:t>
            </w:r>
          </w:p>
        </w:tc>
      </w:tr>
      <w:tr>
        <w:trPr/>
        <w:tc>
          <w:tcPr>
            <w:tcW w:w="20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Total</w:t>
            </w:r>
          </w:p>
        </w:tc>
        <w:tc>
          <w:tcPr>
            <w:tcW w:w="20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23,785</w:t>
            </w:r>
          </w:p>
        </w:tc>
        <w:tc>
          <w:tcPr>
            <w:tcW w:w="22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w:t>
            </w:r>
            <w:r>
              <w:rPr>
                <w:color w:val="000000"/>
                <w:sz w:val="24"/>
                <w:szCs w:val="24"/>
              </w:rPr>
              <w:t>137.57 Lakhs</w:t>
            </w:r>
          </w:p>
        </w:tc>
        <w:tc>
          <w:tcPr>
            <w:tcW w:w="1658"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sz w:val="24"/>
                <w:szCs w:val="24"/>
              </w:rPr>
              <w:t>798</w:t>
            </w:r>
          </w:p>
        </w:tc>
        <w:tc>
          <w:tcPr>
            <w:tcW w:w="150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2,562</w:t>
            </w:r>
          </w:p>
        </w:tc>
      </w:tr>
    </w:tbl>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The data reveals a year-on-year quantity growth of 17.8% from FY 2024-25 to FY 2025-26, while value growth was 28.3% over the same period. The fact that value growth significantly outpaced quantity growth indicates a positive shift in product mix toward higher-margin, higher-MRP items in FY 2025-26. The number of invoices raised nearly doubled between FY 2023-24 and FY 2025-26 (158 to 342), reflecting increased billing frequency and improved order management discipline driven by the implementation of the digital order management system.</w:t>
      </w:r>
    </w:p>
    <w:p>
      <w:pPr>
        <w:pStyle w:val="Normal"/>
        <w:spacing w:lineRule="auto" w:line="480" w:before="0" w:after="200"/>
        <w:ind w:firstLine="720"/>
        <w:jc w:val="both"/>
        <w:rPr>
          <w:sz w:val="24"/>
          <w:szCs w:val="24"/>
        </w:rPr>
      </w:pPr>
      <w:r>
        <w:rPr>
          <w:sz w:val="24"/>
          <w:szCs w:val="24"/>
        </w:rPr>
        <w:t>Chart 4.1 (see Appendix) presents the financial year-wise comparison across all three metrics, illustrating the consistent upward trajectory in all dimensions of business performance.</w:t>
      </w:r>
    </w:p>
    <w:p>
      <w:pPr>
        <w:pStyle w:val="Normal"/>
        <w:spacing w:lineRule="auto" w:line="480"/>
        <w:rPr>
          <w:sz w:val="24"/>
          <w:szCs w:val="24"/>
        </w:rPr>
      </w:pPr>
      <w:r>
        <w:rPr>
          <w:sz w:val="24"/>
          <w:szCs w:val="24"/>
        </w:rPr>
      </w:r>
    </w:p>
    <w:p>
      <w:pPr>
        <w:pStyle w:val="Heading3"/>
        <w:rPr>
          <w:sz w:val="24"/>
          <w:szCs w:val="24"/>
        </w:rPr>
      </w:pPr>
      <w:r>
        <w:rPr>
          <w:sz w:val="24"/>
          <w:szCs w:val="24"/>
        </w:rPr>
      </w:r>
    </w:p>
    <w:p>
      <w:pPr>
        <w:pStyle w:val="Heading3"/>
        <w:rPr>
          <w:sz w:val="24"/>
          <w:szCs w:val="24"/>
        </w:rPr>
      </w:pPr>
      <w:bookmarkStart w:id="32" w:name="__RefHeading___Toc2734_4269637869"/>
      <w:bookmarkEnd w:id="32"/>
      <w:r>
        <w:rPr>
          <w:sz w:val="24"/>
          <w:szCs w:val="24"/>
        </w:rPr>
        <w:t>4.2.2  Monthly Sales Trend</w:t>
      </w:r>
    </w:p>
    <w:p>
      <w:pPr>
        <w:pStyle w:val="Normal"/>
        <w:spacing w:lineRule="auto" w:line="480" w:before="0" w:after="200"/>
        <w:ind w:firstLine="720"/>
        <w:jc w:val="both"/>
        <w:rPr>
          <w:sz w:val="24"/>
          <w:szCs w:val="24"/>
        </w:rPr>
      </w:pPr>
      <w:r>
        <w:rPr>
          <w:sz w:val="24"/>
          <w:szCs w:val="24"/>
        </w:rPr>
        <w:t>The monthly sales trend over the full study period reveals significant intra-year volatility, with clear recurring peaks and troughs across financial years. Chart 4.2 (see Appendix) presents the month-by-month sales quantity trend from June 2023 to March 2026.</w:t>
      </w:r>
    </w:p>
    <w:p>
      <w:pPr>
        <w:pStyle w:val="Normal"/>
        <w:spacing w:lineRule="auto" w:line="480" w:before="0" w:after="200"/>
        <w:ind w:firstLine="720"/>
        <w:jc w:val="both"/>
        <w:rPr>
          <w:sz w:val="24"/>
          <w:szCs w:val="24"/>
        </w:rPr>
      </w:pPr>
      <w:r>
        <w:rPr>
          <w:sz w:val="24"/>
          <w:szCs w:val="24"/>
        </w:rPr>
        <w:t>The overall average monthly sales for the current firm (November 2023 to March 2026) was 701 units, with a peak of 1,595 units in July 2025 and a low of 41 units in November 2023 — the month of the firm's transition. The dual-axis chart combining monthly units and monthly sales value confirms that quantity and value trends are closely correlated, with a few exceptions in months where higher-MRP items dominated the product mix.</w:t>
      </w:r>
    </w:p>
    <w:p>
      <w:pPr>
        <w:pStyle w:val="Normal"/>
        <w:spacing w:lineRule="auto" w:line="480"/>
        <w:rPr>
          <w:sz w:val="24"/>
          <w:szCs w:val="24"/>
        </w:rPr>
      </w:pPr>
      <w:r>
        <w:rPr>
          <w:sz w:val="24"/>
          <w:szCs w:val="24"/>
        </w:rPr>
      </w:r>
    </w:p>
    <w:p>
      <w:pPr>
        <w:pStyle w:val="Heading2"/>
        <w:rPr>
          <w:sz w:val="24"/>
          <w:szCs w:val="24"/>
        </w:rPr>
      </w:pPr>
      <w:bookmarkStart w:id="33" w:name="__RefHeading___Toc2736_4269637869"/>
      <w:bookmarkEnd w:id="33"/>
      <w:r>
        <w:rPr>
          <w:sz w:val="24"/>
          <w:szCs w:val="24"/>
        </w:rPr>
        <w:t>4.3  Product-Level Analysis</w:t>
      </w:r>
    </w:p>
    <w:p>
      <w:pPr>
        <w:pStyle w:val="Heading3"/>
        <w:rPr>
          <w:sz w:val="24"/>
          <w:szCs w:val="24"/>
        </w:rPr>
      </w:pPr>
      <w:bookmarkStart w:id="34" w:name="__RefHeading___Toc2738_4269637869"/>
      <w:bookmarkEnd w:id="34"/>
      <w:r>
        <w:rPr>
          <w:sz w:val="24"/>
          <w:szCs w:val="24"/>
        </w:rPr>
        <w:t>4.3.1  Top Style Codes by Sales Volume</w:t>
      </w:r>
    </w:p>
    <w:p>
      <w:pPr>
        <w:pStyle w:val="Normal"/>
        <w:spacing w:lineRule="auto" w:line="480" w:before="0" w:after="200"/>
        <w:ind w:firstLine="720"/>
        <w:jc w:val="both"/>
        <w:rPr>
          <w:sz w:val="24"/>
          <w:szCs w:val="24"/>
        </w:rPr>
      </w:pPr>
      <w:r>
        <w:rPr>
          <w:sz w:val="24"/>
          <w:szCs w:val="24"/>
        </w:rPr>
        <w:t>Analysis of sales by style code reveals a high degree of demand concentration at the style level. The top 10 style codes collectively accounted for 72.0% of total sales volume over the study period, despite the total active style portfolio comprising 133 unique style codes. Table 4.3 presents the top 10 styles by total units sold.</w:t>
      </w:r>
    </w:p>
    <w:p>
      <w:pPr>
        <w:pStyle w:val="Normal"/>
        <w:spacing w:lineRule="auto" w:line="480"/>
        <w:rPr>
          <w:sz w:val="24"/>
          <w:szCs w:val="24"/>
        </w:rPr>
      </w:pPr>
      <w:r>
        <w:rPr>
          <w:sz w:val="24"/>
          <w:szCs w:val="24"/>
        </w:rPr>
      </w:r>
    </w:p>
    <w:p>
      <w:pPr>
        <w:pStyle w:val="Normal"/>
        <w:spacing w:lineRule="auto" w:line="480" w:before="0" w:after="200"/>
        <w:jc w:val="both"/>
        <w:rPr>
          <w:sz w:val="24"/>
          <w:szCs w:val="24"/>
        </w:rPr>
      </w:pPr>
      <w:r>
        <w:rPr>
          <w:b/>
          <w:bCs/>
          <w:sz w:val="24"/>
          <w:szCs w:val="24"/>
        </w:rPr>
        <w:t>Table 4.3: Top 10 Style Codes by Total Sales Quantity</w:t>
      </w:r>
    </w:p>
    <w:tbl>
      <w:tblPr>
        <w:tblW w:w="9360" w:type="dxa"/>
        <w:jc w:val="start"/>
        <w:tblInd w:w="0" w:type="dxa"/>
        <w:tblLayout w:type="fixed"/>
        <w:tblCellMar>
          <w:top w:w="80" w:type="dxa"/>
          <w:start w:w="120" w:type="dxa"/>
          <w:bottom w:w="80" w:type="dxa"/>
          <w:end w:w="120" w:type="dxa"/>
        </w:tblCellMar>
        <w:tblLook w:noHBand="0" w:lastColumn="0" w:firstColumn="1" w:lastRow="0" w:firstRow="1" w:noVBand="1" w:val="04a0"/>
      </w:tblPr>
      <w:tblGrid>
        <w:gridCol w:w="1199"/>
        <w:gridCol w:w="2199"/>
        <w:gridCol w:w="2202"/>
        <w:gridCol w:w="3760"/>
      </w:tblGrid>
      <w:tr>
        <w:trPr/>
        <w:tc>
          <w:tcPr>
            <w:tcW w:w="1199"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Rank</w:t>
            </w:r>
          </w:p>
        </w:tc>
        <w:tc>
          <w:tcPr>
            <w:tcW w:w="2199"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Style Code</w:t>
            </w:r>
          </w:p>
        </w:tc>
        <w:tc>
          <w:tcPr>
            <w:tcW w:w="2202"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Total Units</w:t>
            </w:r>
          </w:p>
        </w:tc>
        <w:tc>
          <w:tcPr>
            <w:tcW w:w="376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 of Total</w:t>
            </w:r>
          </w:p>
        </w:tc>
      </w:tr>
      <w:tr>
        <w:trPr/>
        <w:tc>
          <w:tcPr>
            <w:tcW w:w="1199"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w:t>
            </w:r>
          </w:p>
        </w:tc>
        <w:tc>
          <w:tcPr>
            <w:tcW w:w="2199"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D143</w:t>
            </w:r>
          </w:p>
        </w:tc>
        <w:tc>
          <w:tcPr>
            <w:tcW w:w="220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6,280</w:t>
            </w:r>
          </w:p>
        </w:tc>
        <w:tc>
          <w:tcPr>
            <w:tcW w:w="376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26.4%</w:t>
            </w:r>
          </w:p>
        </w:tc>
      </w:tr>
      <w:tr>
        <w:trPr/>
        <w:tc>
          <w:tcPr>
            <w:tcW w:w="1199"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w:t>
            </w:r>
          </w:p>
        </w:tc>
        <w:tc>
          <w:tcPr>
            <w:tcW w:w="2199"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D239</w:t>
            </w:r>
          </w:p>
        </w:tc>
        <w:tc>
          <w:tcPr>
            <w:tcW w:w="220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4,280</w:t>
            </w:r>
          </w:p>
        </w:tc>
        <w:tc>
          <w:tcPr>
            <w:tcW w:w="376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18.0%</w:t>
            </w:r>
          </w:p>
        </w:tc>
      </w:tr>
      <w:tr>
        <w:trPr/>
        <w:tc>
          <w:tcPr>
            <w:tcW w:w="1199"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3</w:t>
            </w:r>
          </w:p>
        </w:tc>
        <w:tc>
          <w:tcPr>
            <w:tcW w:w="2199"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TB17</w:t>
            </w:r>
          </w:p>
        </w:tc>
        <w:tc>
          <w:tcPr>
            <w:tcW w:w="220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2,049</w:t>
            </w:r>
          </w:p>
        </w:tc>
        <w:tc>
          <w:tcPr>
            <w:tcW w:w="376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8.6%</w:t>
            </w:r>
          </w:p>
        </w:tc>
      </w:tr>
      <w:tr>
        <w:trPr/>
        <w:tc>
          <w:tcPr>
            <w:tcW w:w="1199"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4</w:t>
            </w:r>
          </w:p>
        </w:tc>
        <w:tc>
          <w:tcPr>
            <w:tcW w:w="2199"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NR57</w:t>
            </w:r>
          </w:p>
        </w:tc>
        <w:tc>
          <w:tcPr>
            <w:tcW w:w="220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1,283</w:t>
            </w:r>
          </w:p>
        </w:tc>
        <w:tc>
          <w:tcPr>
            <w:tcW w:w="376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5.4%</w:t>
            </w:r>
          </w:p>
        </w:tc>
      </w:tr>
      <w:tr>
        <w:trPr/>
        <w:tc>
          <w:tcPr>
            <w:tcW w:w="1199"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5</w:t>
            </w:r>
          </w:p>
        </w:tc>
        <w:tc>
          <w:tcPr>
            <w:tcW w:w="2199"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H162</w:t>
            </w:r>
          </w:p>
        </w:tc>
        <w:tc>
          <w:tcPr>
            <w:tcW w:w="220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1,031</w:t>
            </w:r>
          </w:p>
        </w:tc>
        <w:tc>
          <w:tcPr>
            <w:tcW w:w="376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4.3%</w:t>
            </w:r>
          </w:p>
        </w:tc>
      </w:tr>
      <w:tr>
        <w:trPr/>
        <w:tc>
          <w:tcPr>
            <w:tcW w:w="1199"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6</w:t>
            </w:r>
          </w:p>
        </w:tc>
        <w:tc>
          <w:tcPr>
            <w:tcW w:w="2199"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D368</w:t>
            </w:r>
          </w:p>
        </w:tc>
        <w:tc>
          <w:tcPr>
            <w:tcW w:w="220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517</w:t>
            </w:r>
          </w:p>
        </w:tc>
        <w:tc>
          <w:tcPr>
            <w:tcW w:w="376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2.2%</w:t>
            </w:r>
          </w:p>
        </w:tc>
      </w:tr>
      <w:tr>
        <w:trPr/>
        <w:tc>
          <w:tcPr>
            <w:tcW w:w="1199"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7</w:t>
            </w:r>
          </w:p>
        </w:tc>
        <w:tc>
          <w:tcPr>
            <w:tcW w:w="2199"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D374</w:t>
            </w:r>
          </w:p>
        </w:tc>
        <w:tc>
          <w:tcPr>
            <w:tcW w:w="220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467</w:t>
            </w:r>
          </w:p>
        </w:tc>
        <w:tc>
          <w:tcPr>
            <w:tcW w:w="376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2.0%</w:t>
            </w:r>
          </w:p>
        </w:tc>
      </w:tr>
      <w:tr>
        <w:trPr/>
        <w:tc>
          <w:tcPr>
            <w:tcW w:w="1199"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8</w:t>
            </w:r>
          </w:p>
        </w:tc>
        <w:tc>
          <w:tcPr>
            <w:tcW w:w="2199"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NR48</w:t>
            </w:r>
          </w:p>
        </w:tc>
        <w:tc>
          <w:tcPr>
            <w:tcW w:w="220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460</w:t>
            </w:r>
          </w:p>
        </w:tc>
        <w:tc>
          <w:tcPr>
            <w:tcW w:w="376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1.9%</w:t>
            </w:r>
          </w:p>
        </w:tc>
      </w:tr>
      <w:tr>
        <w:trPr/>
        <w:tc>
          <w:tcPr>
            <w:tcW w:w="1199"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9</w:t>
            </w:r>
          </w:p>
        </w:tc>
        <w:tc>
          <w:tcPr>
            <w:tcW w:w="2199"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NR86</w:t>
            </w:r>
          </w:p>
        </w:tc>
        <w:tc>
          <w:tcPr>
            <w:tcW w:w="220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407</w:t>
            </w:r>
          </w:p>
        </w:tc>
        <w:tc>
          <w:tcPr>
            <w:tcW w:w="376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1.7%</w:t>
            </w:r>
          </w:p>
        </w:tc>
      </w:tr>
      <w:tr>
        <w:trPr/>
        <w:tc>
          <w:tcPr>
            <w:tcW w:w="1199"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10</w:t>
            </w:r>
          </w:p>
        </w:tc>
        <w:tc>
          <w:tcPr>
            <w:tcW w:w="2199"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D271</w:t>
            </w:r>
          </w:p>
        </w:tc>
        <w:tc>
          <w:tcPr>
            <w:tcW w:w="220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343</w:t>
            </w:r>
          </w:p>
        </w:tc>
        <w:tc>
          <w:tcPr>
            <w:tcW w:w="376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1.4%</w:t>
            </w:r>
          </w:p>
        </w:tc>
      </w:tr>
    </w:tbl>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Style D143 is the dominant product, accounting for 26.4% of all units sold — more than a quarter of total sales volume from a single style code. Together, styles D143 and D239 account for 44.4% of total volume, representing a classic Pareto concentration pattern. This concentration has significant implications for inventory management: ensuring consistent stock availability for these two style codes is the single most impactful inventory decision the distributor can make.</w:t>
      </w:r>
    </w:p>
    <w:p>
      <w:pPr>
        <w:pStyle w:val="Normal"/>
        <w:spacing w:lineRule="auto" w:line="480" w:before="0" w:after="200"/>
        <w:ind w:firstLine="720"/>
        <w:jc w:val="both"/>
        <w:rPr>
          <w:sz w:val="24"/>
          <w:szCs w:val="24"/>
        </w:rPr>
      </w:pPr>
      <w:r>
        <w:rPr>
          <w:sz w:val="24"/>
          <w:szCs w:val="24"/>
        </w:rPr>
        <w:t>Chart 4.3 (see Appendix) presents the top 10 style codes as a bar chart with percentage labels, visually illustrating the steep drop-off in volume from the dominant styles to the long tail of the portfolio.</w:t>
      </w:r>
    </w:p>
    <w:p>
      <w:pPr>
        <w:pStyle w:val="Normal"/>
        <w:spacing w:lineRule="auto" w:line="480"/>
        <w:rPr>
          <w:sz w:val="24"/>
          <w:szCs w:val="24"/>
        </w:rPr>
      </w:pPr>
      <w:r>
        <w:rPr>
          <w:sz w:val="24"/>
          <w:szCs w:val="24"/>
        </w:rPr>
      </w:r>
    </w:p>
    <w:p>
      <w:pPr>
        <w:pStyle w:val="Heading3"/>
        <w:rPr>
          <w:sz w:val="24"/>
          <w:szCs w:val="24"/>
        </w:rPr>
      </w:pPr>
      <w:bookmarkStart w:id="35" w:name="__RefHeading___Toc2740_4269637869"/>
      <w:bookmarkEnd w:id="35"/>
      <w:r>
        <w:rPr>
          <w:sz w:val="24"/>
          <w:szCs w:val="24"/>
        </w:rPr>
        <w:t>4.3.2  Category-Level Sales Distribution</w:t>
      </w:r>
    </w:p>
    <w:p>
      <w:pPr>
        <w:pStyle w:val="Normal"/>
        <w:spacing w:lineRule="auto" w:line="480" w:before="0" w:after="200"/>
        <w:ind w:firstLine="720"/>
        <w:jc w:val="both"/>
        <w:rPr>
          <w:sz w:val="24"/>
          <w:szCs w:val="24"/>
        </w:rPr>
      </w:pPr>
      <w:r>
        <w:rPr>
          <w:sz w:val="24"/>
          <w:szCs w:val="24"/>
        </w:rPr>
        <w:t>When sales are analyzed by product category, the CORE range emerges as the dominant segment, accounting for 70.7% of total units sold and 66.9% of total sales value. Table 4.4 presents the category-wise breakdown.</w:t>
      </w:r>
    </w:p>
    <w:p>
      <w:pPr>
        <w:pStyle w:val="Normal"/>
        <w:spacing w:lineRule="auto" w:line="480"/>
        <w:rPr>
          <w:sz w:val="24"/>
          <w:szCs w:val="24"/>
        </w:rPr>
      </w:pPr>
      <w:r>
        <w:rPr>
          <w:sz w:val="24"/>
          <w:szCs w:val="24"/>
        </w:rPr>
      </w:r>
    </w:p>
    <w:p>
      <w:pPr>
        <w:pStyle w:val="Normal"/>
        <w:spacing w:lineRule="auto" w:line="480" w:before="0" w:after="200"/>
        <w:jc w:val="both"/>
        <w:rPr>
          <w:b/>
          <w:bCs/>
          <w:sz w:val="24"/>
          <w:szCs w:val="24"/>
        </w:rPr>
      </w:pPr>
      <w:r>
        <w:rPr>
          <w:b/>
          <w:bCs/>
          <w:sz w:val="24"/>
          <w:szCs w:val="24"/>
        </w:rPr>
      </w:r>
    </w:p>
    <w:p>
      <w:pPr>
        <w:pStyle w:val="Normal"/>
        <w:spacing w:lineRule="auto" w:line="480" w:before="0" w:after="200"/>
        <w:jc w:val="both"/>
        <w:rPr>
          <w:b/>
          <w:bCs/>
          <w:sz w:val="24"/>
          <w:szCs w:val="24"/>
        </w:rPr>
      </w:pPr>
      <w:r>
        <w:rPr>
          <w:b/>
          <w:bCs/>
          <w:sz w:val="24"/>
          <w:szCs w:val="24"/>
        </w:rPr>
      </w:r>
    </w:p>
    <w:p>
      <w:pPr>
        <w:pStyle w:val="Normal"/>
        <w:spacing w:lineRule="auto" w:line="480" w:before="0" w:after="200"/>
        <w:jc w:val="both"/>
        <w:rPr>
          <w:b/>
          <w:bCs/>
          <w:sz w:val="24"/>
          <w:szCs w:val="24"/>
        </w:rPr>
      </w:pPr>
      <w:r>
        <w:rPr>
          <w:b/>
          <w:bCs/>
          <w:sz w:val="24"/>
          <w:szCs w:val="24"/>
        </w:rPr>
        <w:t>Table 4.4: Sales Distribution by Product Category</w:t>
      </w:r>
    </w:p>
    <w:tbl>
      <w:tblPr>
        <w:tblW w:w="9360" w:type="dxa"/>
        <w:jc w:val="start"/>
        <w:tblInd w:w="0" w:type="dxa"/>
        <w:tblLayout w:type="fixed"/>
        <w:tblCellMar>
          <w:top w:w="80" w:type="dxa"/>
          <w:start w:w="120" w:type="dxa"/>
          <w:bottom w:w="80" w:type="dxa"/>
          <w:end w:w="120" w:type="dxa"/>
        </w:tblCellMar>
        <w:tblLook w:noHBand="0" w:lastColumn="0" w:firstColumn="1" w:lastRow="0" w:firstRow="1" w:noVBand="1" w:val="04a0"/>
      </w:tblPr>
      <w:tblGrid>
        <w:gridCol w:w="2000"/>
        <w:gridCol w:w="1800"/>
        <w:gridCol w:w="1558"/>
        <w:gridCol w:w="2202"/>
        <w:gridCol w:w="1800"/>
      </w:tblGrid>
      <w:tr>
        <w:trPr/>
        <w:tc>
          <w:tcPr>
            <w:tcW w:w="200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Category</w:t>
            </w:r>
          </w:p>
        </w:tc>
        <w:tc>
          <w:tcPr>
            <w:tcW w:w="180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Units Sold</w:t>
            </w:r>
          </w:p>
        </w:tc>
        <w:tc>
          <w:tcPr>
            <w:tcW w:w="1558"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 Volume</w:t>
            </w:r>
          </w:p>
        </w:tc>
        <w:tc>
          <w:tcPr>
            <w:tcW w:w="2202"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Sales Value</w:t>
            </w:r>
          </w:p>
        </w:tc>
        <w:tc>
          <w:tcPr>
            <w:tcW w:w="180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 Value</w:t>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CORE</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16,827</w:t>
            </w:r>
          </w:p>
        </w:tc>
        <w:tc>
          <w:tcPr>
            <w:tcW w:w="155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70.7%</w:t>
            </w:r>
          </w:p>
        </w:tc>
        <w:tc>
          <w:tcPr>
            <w:tcW w:w="220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w:t>
            </w:r>
            <w:r>
              <w:rPr>
                <w:color w:val="000000"/>
                <w:sz w:val="24"/>
                <w:szCs w:val="24"/>
              </w:rPr>
              <w:t>91.99 Lakhs</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66.9%</w:t>
            </w:r>
          </w:p>
        </w:tc>
      </w:tr>
      <w:tr>
        <w:trPr/>
        <w:tc>
          <w:tcPr>
            <w:tcW w:w="20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FASHION</w:t>
            </w:r>
          </w:p>
        </w:tc>
        <w:tc>
          <w:tcPr>
            <w:tcW w:w="18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2,388</w:t>
            </w:r>
          </w:p>
        </w:tc>
        <w:tc>
          <w:tcPr>
            <w:tcW w:w="1558"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10.0%</w:t>
            </w:r>
          </w:p>
        </w:tc>
        <w:tc>
          <w:tcPr>
            <w:tcW w:w="220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w:t>
            </w:r>
            <w:r>
              <w:rPr>
                <w:color w:val="000000"/>
                <w:sz w:val="24"/>
                <w:szCs w:val="24"/>
              </w:rPr>
              <w:t>23.57 Lakhs</w:t>
            </w:r>
          </w:p>
        </w:tc>
        <w:tc>
          <w:tcPr>
            <w:tcW w:w="18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17.1%</w:t>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NCP-P010</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1,936</w:t>
            </w:r>
          </w:p>
        </w:tc>
        <w:tc>
          <w:tcPr>
            <w:tcW w:w="155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8.1%</w:t>
            </w:r>
          </w:p>
        </w:tc>
        <w:tc>
          <w:tcPr>
            <w:tcW w:w="220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w:t>
            </w:r>
            <w:r>
              <w:rPr>
                <w:color w:val="000000"/>
                <w:sz w:val="24"/>
                <w:szCs w:val="24"/>
              </w:rPr>
              <w:t>8.88 Lakhs</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6.5%</w:t>
            </w:r>
          </w:p>
        </w:tc>
      </w:tr>
      <w:tr>
        <w:trPr/>
        <w:tc>
          <w:tcPr>
            <w:tcW w:w="20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OTHER</w:t>
            </w:r>
          </w:p>
        </w:tc>
        <w:tc>
          <w:tcPr>
            <w:tcW w:w="18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1,613</w:t>
            </w:r>
          </w:p>
        </w:tc>
        <w:tc>
          <w:tcPr>
            <w:tcW w:w="1558"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6.8%</w:t>
            </w:r>
          </w:p>
        </w:tc>
        <w:tc>
          <w:tcPr>
            <w:tcW w:w="220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w:t>
            </w:r>
            <w:r>
              <w:rPr>
                <w:color w:val="000000"/>
                <w:sz w:val="24"/>
                <w:szCs w:val="24"/>
              </w:rPr>
              <w:t>8.03 Lakhs</w:t>
            </w:r>
          </w:p>
        </w:tc>
        <w:tc>
          <w:tcPr>
            <w:tcW w:w="18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5.8%</w:t>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SS26</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599</w:t>
            </w:r>
          </w:p>
        </w:tc>
        <w:tc>
          <w:tcPr>
            <w:tcW w:w="155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2.5%</w:t>
            </w:r>
          </w:p>
        </w:tc>
        <w:tc>
          <w:tcPr>
            <w:tcW w:w="220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w:t>
            </w:r>
            <w:r>
              <w:rPr>
                <w:color w:val="000000"/>
                <w:sz w:val="24"/>
                <w:szCs w:val="24"/>
              </w:rPr>
              <w:t>3.75 Lakhs</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2.7%</w:t>
            </w:r>
          </w:p>
        </w:tc>
      </w:tr>
      <w:tr>
        <w:trPr/>
        <w:tc>
          <w:tcPr>
            <w:tcW w:w="20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NCP</w:t>
            </w:r>
          </w:p>
        </w:tc>
        <w:tc>
          <w:tcPr>
            <w:tcW w:w="18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218</w:t>
            </w:r>
          </w:p>
        </w:tc>
        <w:tc>
          <w:tcPr>
            <w:tcW w:w="1558"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0.9%</w:t>
            </w:r>
          </w:p>
        </w:tc>
        <w:tc>
          <w:tcPr>
            <w:tcW w:w="220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w:t>
            </w:r>
            <w:r>
              <w:rPr>
                <w:color w:val="000000"/>
                <w:sz w:val="24"/>
                <w:szCs w:val="24"/>
              </w:rPr>
              <w:t>0.60 Lakhs</w:t>
            </w:r>
          </w:p>
        </w:tc>
        <w:tc>
          <w:tcPr>
            <w:tcW w:w="18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0.4%</w:t>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NCP-P05</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204</w:t>
            </w:r>
          </w:p>
        </w:tc>
        <w:tc>
          <w:tcPr>
            <w:tcW w:w="155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0.9%</w:t>
            </w:r>
          </w:p>
        </w:tc>
        <w:tc>
          <w:tcPr>
            <w:tcW w:w="220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w:t>
            </w:r>
            <w:r>
              <w:rPr>
                <w:color w:val="000000"/>
                <w:sz w:val="24"/>
                <w:szCs w:val="24"/>
              </w:rPr>
              <w:t>0.76 Lakhs</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0.6%</w:t>
            </w:r>
          </w:p>
        </w:tc>
      </w:tr>
    </w:tbl>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A notable finding is that the FASHION category, while representing only 10.0% of volume, contributes 17.1% of sales value — a value contribution disproportionately higher than its volume share. This indicates that FASHION category products carry significantly higher MRPs and generate better per-unit revenue. The NCP-P010 category (non-core packaged products, pack of 10) contributes 8.1% of volume, driven primarily by periodic bulk purchases from select retail accounts. The SS26 category represents newly launched seasonal products that had only partial-year coverage during the study period.</w:t>
      </w:r>
    </w:p>
    <w:p>
      <w:pPr>
        <w:pStyle w:val="Normal"/>
        <w:spacing w:lineRule="auto" w:line="480"/>
        <w:rPr>
          <w:sz w:val="24"/>
          <w:szCs w:val="24"/>
        </w:rPr>
      </w:pPr>
      <w:r>
        <w:rPr>
          <w:sz w:val="24"/>
          <w:szCs w:val="24"/>
        </w:rPr>
      </w:r>
    </w:p>
    <w:p>
      <w:pPr>
        <w:pStyle w:val="Heading3"/>
        <w:rPr>
          <w:sz w:val="24"/>
          <w:szCs w:val="24"/>
        </w:rPr>
      </w:pPr>
      <w:bookmarkStart w:id="36" w:name="__RefHeading___Toc2742_4269637869"/>
      <w:bookmarkEnd w:id="36"/>
      <w:r>
        <w:rPr>
          <w:sz w:val="24"/>
          <w:szCs w:val="24"/>
        </w:rPr>
        <w:t>4.3.3  Size Distribution Analysis</w:t>
      </w:r>
    </w:p>
    <w:p>
      <w:pPr>
        <w:pStyle w:val="Normal"/>
        <w:spacing w:lineRule="auto" w:line="480" w:before="0" w:after="200"/>
        <w:ind w:firstLine="720"/>
        <w:jc w:val="both"/>
        <w:rPr>
          <w:sz w:val="24"/>
          <w:szCs w:val="24"/>
        </w:rPr>
      </w:pPr>
      <w:r>
        <w:rPr>
          <w:sz w:val="24"/>
          <w:szCs w:val="24"/>
        </w:rPr>
        <w:t>Analysis of sales by product size reveals a clear bifurcation between two distinct size classifications within the product portfolio: cup sizes (e.g., 32B, 34C, 36D) associated with structured innerwear products, and standard apparel sizes (S, M, L, XL) associated with casual and bottom-wear products.</w:t>
      </w:r>
    </w:p>
    <w:p>
      <w:pPr>
        <w:pStyle w:val="Normal"/>
        <w:spacing w:lineRule="auto" w:line="480" w:before="0" w:after="200"/>
        <w:ind w:firstLine="720"/>
        <w:jc w:val="both"/>
        <w:rPr>
          <w:sz w:val="24"/>
          <w:szCs w:val="24"/>
        </w:rPr>
      </w:pPr>
      <w:r>
        <w:rPr>
          <w:sz w:val="24"/>
          <w:szCs w:val="24"/>
        </w:rPr>
        <w:t>Cup sizes accounted for 65.8% of total sales volume, while standard sizes contributed 31.7%, with the remaining 2.5% classified as other or extended sizes. Within standard sizes, M (2,256 units) and L (1,889 units) were the top sellers. Within cup sizes, the 36C (1,734 units), 36B (1,692 units), and 34B (1,639 units) combinations led sales, indicating that mid-range band sizes with C-cup and B-cup variants represent the core demand sweet spot for this territory.</w:t>
      </w:r>
    </w:p>
    <w:p>
      <w:pPr>
        <w:pStyle w:val="Normal"/>
        <w:spacing w:lineRule="auto" w:line="480" w:before="0" w:after="200"/>
        <w:ind w:firstLine="720"/>
        <w:jc w:val="both"/>
        <w:rPr>
          <w:sz w:val="24"/>
          <w:szCs w:val="24"/>
        </w:rPr>
      </w:pPr>
      <w:r>
        <w:rPr>
          <w:sz w:val="24"/>
          <w:szCs w:val="24"/>
        </w:rPr>
        <w:t>Chart 4.7 (see Appendix) presents the top 25 sizes colored by type, providing a clear visual representation of the relative demand across the size range.</w:t>
      </w:r>
    </w:p>
    <w:p>
      <w:pPr>
        <w:pStyle w:val="Normal"/>
        <w:spacing w:lineRule="auto" w:line="480"/>
        <w:rPr>
          <w:sz w:val="24"/>
          <w:szCs w:val="24"/>
        </w:rPr>
      </w:pPr>
      <w:r>
        <w:rPr>
          <w:sz w:val="24"/>
          <w:szCs w:val="24"/>
        </w:rPr>
      </w:r>
    </w:p>
    <w:p>
      <w:pPr>
        <w:pStyle w:val="Heading2"/>
        <w:rPr>
          <w:sz w:val="24"/>
          <w:szCs w:val="24"/>
        </w:rPr>
      </w:pPr>
      <w:bookmarkStart w:id="37" w:name="__RefHeading___Toc2744_4269637869"/>
      <w:bookmarkEnd w:id="37"/>
      <w:r>
        <w:rPr>
          <w:sz w:val="24"/>
          <w:szCs w:val="24"/>
        </w:rPr>
        <w:t>4.4  Retailer Analysis</w:t>
      </w:r>
    </w:p>
    <w:p>
      <w:pPr>
        <w:pStyle w:val="Normal"/>
        <w:spacing w:lineRule="auto" w:line="480" w:before="0" w:after="200"/>
        <w:ind w:firstLine="720"/>
        <w:jc w:val="both"/>
        <w:rPr>
          <w:sz w:val="24"/>
          <w:szCs w:val="24"/>
        </w:rPr>
      </w:pPr>
      <w:r>
        <w:rPr>
          <w:sz w:val="24"/>
          <w:szCs w:val="24"/>
        </w:rPr>
        <w:t>The retailer analysis examines the distribution of sales across the 46 retail accounts that purchased from the firm during the study period. A high degree of concentration is observed at the retailer level, consistent with the style-level concentration noted in Section 4.3.</w:t>
      </w:r>
    </w:p>
    <w:p>
      <w:pPr>
        <w:pStyle w:val="Normal"/>
        <w:spacing w:lineRule="auto" w:line="480"/>
        <w:rPr>
          <w:sz w:val="24"/>
          <w:szCs w:val="24"/>
        </w:rPr>
      </w:pPr>
      <w:r>
        <w:rPr>
          <w:sz w:val="24"/>
          <w:szCs w:val="24"/>
        </w:rPr>
      </w:r>
    </w:p>
    <w:p>
      <w:pPr>
        <w:pStyle w:val="Normal"/>
        <w:spacing w:lineRule="auto" w:line="480" w:before="0" w:after="200"/>
        <w:jc w:val="both"/>
        <w:rPr>
          <w:sz w:val="24"/>
          <w:szCs w:val="24"/>
        </w:rPr>
      </w:pPr>
      <w:r>
        <w:rPr>
          <w:b/>
          <w:bCs/>
          <w:sz w:val="24"/>
          <w:szCs w:val="24"/>
        </w:rPr>
        <w:t>Table 4.5: Top 10 Retail Accounts by Total Purchase Quantity</w:t>
      </w:r>
    </w:p>
    <w:tbl>
      <w:tblPr>
        <w:tblW w:w="9360" w:type="dxa"/>
        <w:jc w:val="start"/>
        <w:tblInd w:w="0" w:type="dxa"/>
        <w:tblLayout w:type="fixed"/>
        <w:tblCellMar>
          <w:top w:w="80" w:type="dxa"/>
          <w:start w:w="120" w:type="dxa"/>
          <w:bottom w:w="80" w:type="dxa"/>
          <w:end w:w="120" w:type="dxa"/>
        </w:tblCellMar>
        <w:tblLook w:noHBand="0" w:lastColumn="0" w:firstColumn="1" w:lastRow="0" w:firstRow="1" w:noVBand="1" w:val="04a0"/>
      </w:tblPr>
      <w:tblGrid>
        <w:gridCol w:w="900"/>
        <w:gridCol w:w="2200"/>
        <w:gridCol w:w="2000"/>
        <w:gridCol w:w="1558"/>
        <w:gridCol w:w="1400"/>
        <w:gridCol w:w="1302"/>
      </w:tblGrid>
      <w:tr>
        <w:trPr/>
        <w:tc>
          <w:tcPr>
            <w:tcW w:w="90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Rank</w:t>
            </w:r>
          </w:p>
        </w:tc>
        <w:tc>
          <w:tcPr>
            <w:tcW w:w="220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Retailer Code</w:t>
            </w:r>
          </w:p>
        </w:tc>
        <w:tc>
          <w:tcPr>
            <w:tcW w:w="200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Units Purchased</w:t>
            </w:r>
          </w:p>
        </w:tc>
        <w:tc>
          <w:tcPr>
            <w:tcW w:w="1558"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 of Total</w:t>
            </w:r>
          </w:p>
        </w:tc>
        <w:tc>
          <w:tcPr>
            <w:tcW w:w="140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Value</w:t>
            </w:r>
          </w:p>
        </w:tc>
        <w:tc>
          <w:tcPr>
            <w:tcW w:w="1302"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Invoices</w:t>
            </w:r>
          </w:p>
        </w:tc>
      </w:tr>
      <w:tr>
        <w:trPr/>
        <w:tc>
          <w:tcPr>
            <w:tcW w:w="9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w:t>
            </w:r>
          </w:p>
        </w:tc>
        <w:tc>
          <w:tcPr>
            <w:tcW w:w="22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RETAILER_026</w:t>
            </w:r>
          </w:p>
        </w:tc>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9,056</w:t>
            </w:r>
          </w:p>
        </w:tc>
        <w:tc>
          <w:tcPr>
            <w:tcW w:w="155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38.1%</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w:t>
            </w:r>
            <w:r>
              <w:rPr>
                <w:color w:val="000000"/>
                <w:sz w:val="24"/>
                <w:szCs w:val="24"/>
              </w:rPr>
              <w:t>56.38L</w:t>
            </w:r>
          </w:p>
        </w:tc>
        <w:tc>
          <w:tcPr>
            <w:tcW w:w="130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150</w:t>
            </w:r>
          </w:p>
        </w:tc>
      </w:tr>
      <w:tr>
        <w:trPr/>
        <w:tc>
          <w:tcPr>
            <w:tcW w:w="9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w:t>
            </w:r>
          </w:p>
        </w:tc>
        <w:tc>
          <w:tcPr>
            <w:tcW w:w="22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RETAILER_021</w:t>
            </w:r>
          </w:p>
        </w:tc>
        <w:tc>
          <w:tcPr>
            <w:tcW w:w="20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3,933</w:t>
            </w:r>
          </w:p>
        </w:tc>
        <w:tc>
          <w:tcPr>
            <w:tcW w:w="1558"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16.5%</w:t>
            </w:r>
          </w:p>
        </w:tc>
        <w:tc>
          <w:tcPr>
            <w:tcW w:w="14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w:t>
            </w:r>
            <w:r>
              <w:rPr>
                <w:color w:val="000000"/>
                <w:sz w:val="24"/>
                <w:szCs w:val="24"/>
              </w:rPr>
              <w:t>21.92L</w:t>
            </w:r>
          </w:p>
        </w:tc>
        <w:tc>
          <w:tcPr>
            <w:tcW w:w="130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42</w:t>
            </w:r>
          </w:p>
        </w:tc>
      </w:tr>
      <w:tr>
        <w:trPr/>
        <w:tc>
          <w:tcPr>
            <w:tcW w:w="9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3</w:t>
            </w:r>
          </w:p>
        </w:tc>
        <w:tc>
          <w:tcPr>
            <w:tcW w:w="22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RETAILER_006</w:t>
            </w:r>
          </w:p>
        </w:tc>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1,055</w:t>
            </w:r>
          </w:p>
        </w:tc>
        <w:tc>
          <w:tcPr>
            <w:tcW w:w="155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4.4%</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w:t>
            </w:r>
            <w:r>
              <w:rPr>
                <w:color w:val="000000"/>
                <w:sz w:val="24"/>
                <w:szCs w:val="24"/>
              </w:rPr>
              <w:t>6.19L</w:t>
            </w:r>
          </w:p>
        </w:tc>
        <w:tc>
          <w:tcPr>
            <w:tcW w:w="130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31</w:t>
            </w:r>
          </w:p>
        </w:tc>
      </w:tr>
      <w:tr>
        <w:trPr/>
        <w:tc>
          <w:tcPr>
            <w:tcW w:w="9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4</w:t>
            </w:r>
          </w:p>
        </w:tc>
        <w:tc>
          <w:tcPr>
            <w:tcW w:w="22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ERP_ONLY_003</w:t>
            </w:r>
          </w:p>
        </w:tc>
        <w:tc>
          <w:tcPr>
            <w:tcW w:w="20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938</w:t>
            </w:r>
          </w:p>
        </w:tc>
        <w:tc>
          <w:tcPr>
            <w:tcW w:w="1558"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3.9%</w:t>
            </w:r>
          </w:p>
        </w:tc>
        <w:tc>
          <w:tcPr>
            <w:tcW w:w="14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w:t>
            </w:r>
            <w:r>
              <w:rPr>
                <w:color w:val="000000"/>
                <w:sz w:val="24"/>
                <w:szCs w:val="24"/>
              </w:rPr>
              <w:t>4.30L</w:t>
            </w:r>
          </w:p>
        </w:tc>
        <w:tc>
          <w:tcPr>
            <w:tcW w:w="130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25</w:t>
            </w:r>
          </w:p>
        </w:tc>
      </w:tr>
      <w:tr>
        <w:trPr/>
        <w:tc>
          <w:tcPr>
            <w:tcW w:w="9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5</w:t>
            </w:r>
          </w:p>
        </w:tc>
        <w:tc>
          <w:tcPr>
            <w:tcW w:w="22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RETAILER_020</w:t>
            </w:r>
          </w:p>
        </w:tc>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910</w:t>
            </w:r>
          </w:p>
        </w:tc>
        <w:tc>
          <w:tcPr>
            <w:tcW w:w="155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3.8%</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w:t>
            </w:r>
            <w:r>
              <w:rPr>
                <w:color w:val="000000"/>
                <w:sz w:val="24"/>
                <w:szCs w:val="24"/>
              </w:rPr>
              <w:t>5.31L</w:t>
            </w:r>
          </w:p>
        </w:tc>
        <w:tc>
          <w:tcPr>
            <w:tcW w:w="130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50</w:t>
            </w:r>
          </w:p>
        </w:tc>
      </w:tr>
      <w:tr>
        <w:trPr/>
        <w:tc>
          <w:tcPr>
            <w:tcW w:w="9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6</w:t>
            </w:r>
          </w:p>
        </w:tc>
        <w:tc>
          <w:tcPr>
            <w:tcW w:w="22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RETAILER_012</w:t>
            </w:r>
          </w:p>
        </w:tc>
        <w:tc>
          <w:tcPr>
            <w:tcW w:w="20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731</w:t>
            </w:r>
          </w:p>
        </w:tc>
        <w:tc>
          <w:tcPr>
            <w:tcW w:w="1558"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3.1%</w:t>
            </w:r>
          </w:p>
        </w:tc>
        <w:tc>
          <w:tcPr>
            <w:tcW w:w="14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w:t>
            </w:r>
            <w:r>
              <w:rPr>
                <w:color w:val="000000"/>
                <w:sz w:val="24"/>
                <w:szCs w:val="24"/>
              </w:rPr>
              <w:t>4.11L</w:t>
            </w:r>
          </w:p>
        </w:tc>
        <w:tc>
          <w:tcPr>
            <w:tcW w:w="130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24</w:t>
            </w:r>
          </w:p>
        </w:tc>
      </w:tr>
      <w:tr>
        <w:trPr/>
        <w:tc>
          <w:tcPr>
            <w:tcW w:w="9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7</w:t>
            </w:r>
          </w:p>
        </w:tc>
        <w:tc>
          <w:tcPr>
            <w:tcW w:w="22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RETAILER_010</w:t>
            </w:r>
          </w:p>
        </w:tc>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713</w:t>
            </w:r>
          </w:p>
        </w:tc>
        <w:tc>
          <w:tcPr>
            <w:tcW w:w="155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3.0%</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w:t>
            </w:r>
            <w:r>
              <w:rPr>
                <w:color w:val="000000"/>
                <w:sz w:val="24"/>
                <w:szCs w:val="24"/>
              </w:rPr>
              <w:t>3.43L</w:t>
            </w:r>
          </w:p>
        </w:tc>
        <w:tc>
          <w:tcPr>
            <w:tcW w:w="130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48</w:t>
            </w:r>
          </w:p>
        </w:tc>
      </w:tr>
      <w:tr>
        <w:trPr/>
        <w:tc>
          <w:tcPr>
            <w:tcW w:w="9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8</w:t>
            </w:r>
          </w:p>
        </w:tc>
        <w:tc>
          <w:tcPr>
            <w:tcW w:w="22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RETAILER_016</w:t>
            </w:r>
          </w:p>
        </w:tc>
        <w:tc>
          <w:tcPr>
            <w:tcW w:w="20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647</w:t>
            </w:r>
          </w:p>
        </w:tc>
        <w:tc>
          <w:tcPr>
            <w:tcW w:w="1558"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2.7%</w:t>
            </w:r>
          </w:p>
        </w:tc>
        <w:tc>
          <w:tcPr>
            <w:tcW w:w="14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w:t>
            </w:r>
            <w:r>
              <w:rPr>
                <w:color w:val="000000"/>
                <w:sz w:val="24"/>
                <w:szCs w:val="24"/>
              </w:rPr>
              <w:t>3.24L</w:t>
            </w:r>
          </w:p>
        </w:tc>
        <w:tc>
          <w:tcPr>
            <w:tcW w:w="130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28</w:t>
            </w:r>
          </w:p>
        </w:tc>
      </w:tr>
      <w:tr>
        <w:trPr/>
        <w:tc>
          <w:tcPr>
            <w:tcW w:w="9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9</w:t>
            </w:r>
          </w:p>
        </w:tc>
        <w:tc>
          <w:tcPr>
            <w:tcW w:w="22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ERP_ONLY_006</w:t>
            </w:r>
          </w:p>
        </w:tc>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499</w:t>
            </w:r>
          </w:p>
        </w:tc>
        <w:tc>
          <w:tcPr>
            <w:tcW w:w="155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2.1%</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w:t>
            </w:r>
            <w:r>
              <w:rPr>
                <w:color w:val="000000"/>
                <w:sz w:val="24"/>
                <w:szCs w:val="24"/>
              </w:rPr>
              <w:t>3.49L</w:t>
            </w:r>
          </w:p>
        </w:tc>
        <w:tc>
          <w:tcPr>
            <w:tcW w:w="130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24</w:t>
            </w:r>
          </w:p>
        </w:tc>
      </w:tr>
      <w:tr>
        <w:trPr/>
        <w:tc>
          <w:tcPr>
            <w:tcW w:w="9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10</w:t>
            </w:r>
          </w:p>
        </w:tc>
        <w:tc>
          <w:tcPr>
            <w:tcW w:w="22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ERP_ONLY_008</w:t>
            </w:r>
          </w:p>
        </w:tc>
        <w:tc>
          <w:tcPr>
            <w:tcW w:w="20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499</w:t>
            </w:r>
          </w:p>
        </w:tc>
        <w:tc>
          <w:tcPr>
            <w:tcW w:w="1558"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2.1%</w:t>
            </w:r>
          </w:p>
        </w:tc>
        <w:tc>
          <w:tcPr>
            <w:tcW w:w="14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w:t>
            </w:r>
            <w:r>
              <w:rPr>
                <w:color w:val="000000"/>
                <w:sz w:val="24"/>
                <w:szCs w:val="24"/>
              </w:rPr>
              <w:t>3.10L</w:t>
            </w:r>
          </w:p>
        </w:tc>
        <w:tc>
          <w:tcPr>
            <w:tcW w:w="130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15</w:t>
            </w:r>
          </w:p>
        </w:tc>
      </w:tr>
    </w:tbl>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RETAILER_026 is the dominant account, contributing 38.1% of total sales volume and 41.0% of total sales value. This single retail account's purchasing decisions have an outsized influence on the distributor's monthly and quarterly sales figures. Together, the top two retailers — RETAILER_026 and RETAILER_021 — account for 54.6% of total sales volume, representing an extreme degree of customer concentration.</w:t>
      </w:r>
    </w:p>
    <w:p>
      <w:pPr>
        <w:pStyle w:val="Normal"/>
        <w:spacing w:lineRule="auto" w:line="480" w:before="0" w:after="200"/>
        <w:ind w:firstLine="720"/>
        <w:jc w:val="both"/>
        <w:rPr>
          <w:sz w:val="24"/>
          <w:szCs w:val="24"/>
        </w:rPr>
      </w:pPr>
      <w:r>
        <w:rPr>
          <w:sz w:val="24"/>
          <w:szCs w:val="24"/>
        </w:rPr>
        <w:t>The top 15 retail accounts collectively account for 88.4% of total sales volume, leaving only 11.6% distributed across the remaining 31 active accounts. This concentration presents a significant business risk: any reduction in ordering volume from RETAILER_026 or RETAILER_021 would have an immediate and material impact on the distributor's overall sales performance.</w:t>
      </w:r>
    </w:p>
    <w:p>
      <w:pPr>
        <w:pStyle w:val="Normal"/>
        <w:spacing w:lineRule="auto" w:line="480"/>
        <w:rPr>
          <w:sz w:val="24"/>
          <w:szCs w:val="24"/>
        </w:rPr>
      </w:pPr>
      <w:r>
        <w:rPr>
          <w:sz w:val="24"/>
          <w:szCs w:val="24"/>
        </w:rPr>
      </w:r>
    </w:p>
    <w:p>
      <w:pPr>
        <w:pStyle w:val="Heading2"/>
        <w:rPr>
          <w:sz w:val="24"/>
          <w:szCs w:val="24"/>
        </w:rPr>
      </w:pPr>
      <w:bookmarkStart w:id="38" w:name="__RefHeading___Toc2746_4269637869"/>
      <w:bookmarkEnd w:id="38"/>
      <w:r>
        <w:rPr>
          <w:sz w:val="24"/>
          <w:szCs w:val="24"/>
        </w:rPr>
        <w:t>4.5  Demand Pattern Analysis: Seasonal vs Incentive-Driven Purchasing Behaviour</w:t>
      </w:r>
    </w:p>
    <w:p>
      <w:pPr>
        <w:pStyle w:val="Normal"/>
        <w:spacing w:lineRule="auto" w:line="480" w:before="0" w:after="200"/>
        <w:ind w:firstLine="720"/>
        <w:jc w:val="both"/>
        <w:rPr>
          <w:sz w:val="24"/>
          <w:szCs w:val="24"/>
        </w:rPr>
      </w:pPr>
      <w:r>
        <w:rPr>
          <w:sz w:val="24"/>
          <w:szCs w:val="24"/>
        </w:rPr>
        <w:t>One of the most significant analytical findings of this study is the identification of two distinct demand drivers operating simultaneously within the distribution network: genuine seasonal demand and incentive-driven purchasing behaviour.</w:t>
      </w:r>
    </w:p>
    <w:p>
      <w:pPr>
        <w:pStyle w:val="Heading3"/>
        <w:rPr>
          <w:sz w:val="24"/>
          <w:szCs w:val="24"/>
        </w:rPr>
      </w:pPr>
      <w:bookmarkStart w:id="39" w:name="__RefHeading___Toc2748_4269637869"/>
      <w:bookmarkEnd w:id="39"/>
      <w:r>
        <w:rPr>
          <w:sz w:val="24"/>
          <w:szCs w:val="24"/>
        </w:rPr>
        <w:t>4.5.1  Seasonal Demand Heatmap</w:t>
      </w:r>
    </w:p>
    <w:p>
      <w:pPr>
        <w:pStyle w:val="Normal"/>
        <w:spacing w:lineRule="auto" w:line="480" w:before="0" w:after="200"/>
        <w:ind w:firstLine="720"/>
        <w:jc w:val="both"/>
        <w:rPr>
          <w:sz w:val="24"/>
          <w:szCs w:val="24"/>
        </w:rPr>
      </w:pPr>
      <w:r>
        <w:rPr>
          <w:sz w:val="24"/>
          <w:szCs w:val="24"/>
        </w:rPr>
        <w:t>The seasonal heatmap presented in Chart 4.8 (see Appendix) plots monthly units sold against financial year, using the standard Indian financial year ordering (April to March). The heatmap reveals clear seasonal patterns that repeat across financial years, with December consistently emerging as the single highest-volume month (cumulative 4,264 units across all FYs) and March as the second-highest (3,332 units). May and July represent mid-year peaks.</w:t>
      </w:r>
    </w:p>
    <w:p>
      <w:pPr>
        <w:pStyle w:val="Normal"/>
        <w:spacing w:lineRule="auto" w:line="480"/>
        <w:rPr>
          <w:sz w:val="24"/>
          <w:szCs w:val="24"/>
        </w:rPr>
      </w:pPr>
      <w:r>
        <w:rPr>
          <w:sz w:val="24"/>
          <w:szCs w:val="24"/>
        </w:rPr>
      </w:r>
    </w:p>
    <w:p>
      <w:pPr>
        <w:pStyle w:val="Normal"/>
        <w:spacing w:lineRule="auto" w:line="480" w:before="0" w:after="200"/>
        <w:jc w:val="both"/>
        <w:rPr>
          <w:sz w:val="24"/>
          <w:szCs w:val="24"/>
        </w:rPr>
      </w:pPr>
      <w:r>
        <w:rPr>
          <w:b/>
          <w:bCs/>
          <w:sz w:val="24"/>
          <w:szCs w:val="24"/>
        </w:rPr>
        <w:t>Table 4.6: Monthly Sales Totals by Season (All FYs Combined)</w:t>
      </w:r>
    </w:p>
    <w:tbl>
      <w:tblPr>
        <w:tblW w:w="9360" w:type="dxa"/>
        <w:jc w:val="start"/>
        <w:tblInd w:w="0" w:type="dxa"/>
        <w:tblLayout w:type="fixed"/>
        <w:tblCellMar>
          <w:top w:w="80" w:type="dxa"/>
          <w:start w:w="120" w:type="dxa"/>
          <w:bottom w:w="80" w:type="dxa"/>
          <w:end w:w="120" w:type="dxa"/>
        </w:tblCellMar>
        <w:tblLook w:noHBand="0" w:lastColumn="0" w:firstColumn="1" w:lastRow="0" w:firstRow="1" w:noVBand="1" w:val="04a0"/>
      </w:tblPr>
      <w:tblGrid>
        <w:gridCol w:w="2000"/>
        <w:gridCol w:w="1800"/>
        <w:gridCol w:w="1360"/>
        <w:gridCol w:w="4200"/>
      </w:tblGrid>
      <w:tr>
        <w:trPr/>
        <w:tc>
          <w:tcPr>
            <w:tcW w:w="200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Month</w:t>
            </w:r>
          </w:p>
        </w:tc>
        <w:tc>
          <w:tcPr>
            <w:tcW w:w="180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Total Units</w:t>
            </w:r>
          </w:p>
        </w:tc>
        <w:tc>
          <w:tcPr>
            <w:tcW w:w="136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Rank</w:t>
            </w:r>
          </w:p>
        </w:tc>
        <w:tc>
          <w:tcPr>
            <w:tcW w:w="420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Demand Driver</w:t>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December</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4,264</w:t>
            </w:r>
          </w:p>
        </w:tc>
        <w:tc>
          <w:tcPr>
            <w:tcW w:w="136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w:t>
            </w:r>
          </w:p>
        </w:tc>
        <w:tc>
          <w:tcPr>
            <w:tcW w:w="42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Quarter-end + Year-end target incentive</w:t>
            </w:r>
          </w:p>
        </w:tc>
      </w:tr>
      <w:tr>
        <w:trPr/>
        <w:tc>
          <w:tcPr>
            <w:tcW w:w="20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March</w:t>
            </w:r>
          </w:p>
        </w:tc>
        <w:tc>
          <w:tcPr>
            <w:tcW w:w="18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3,332</w:t>
            </w:r>
          </w:p>
        </w:tc>
        <w:tc>
          <w:tcPr>
            <w:tcW w:w="136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w:t>
            </w:r>
          </w:p>
        </w:tc>
        <w:tc>
          <w:tcPr>
            <w:tcW w:w="42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Financial year-end target incentive</w:t>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July</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2,293</w:t>
            </w:r>
          </w:p>
        </w:tc>
        <w:tc>
          <w:tcPr>
            <w:tcW w:w="136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3</w:t>
            </w:r>
          </w:p>
        </w:tc>
        <w:tc>
          <w:tcPr>
            <w:tcW w:w="42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Summer season demand</w:t>
            </w:r>
          </w:p>
        </w:tc>
      </w:tr>
      <w:tr>
        <w:trPr/>
        <w:tc>
          <w:tcPr>
            <w:tcW w:w="20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May</w:t>
            </w:r>
          </w:p>
        </w:tc>
        <w:tc>
          <w:tcPr>
            <w:tcW w:w="18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1,971</w:t>
            </w:r>
          </w:p>
        </w:tc>
        <w:tc>
          <w:tcPr>
            <w:tcW w:w="136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4</w:t>
            </w:r>
          </w:p>
        </w:tc>
        <w:tc>
          <w:tcPr>
            <w:tcW w:w="42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Pre-summer season stocking</w:t>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August</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1,364</w:t>
            </w:r>
          </w:p>
        </w:tc>
        <w:tc>
          <w:tcPr>
            <w:tcW w:w="136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5</w:t>
            </w:r>
          </w:p>
        </w:tc>
        <w:tc>
          <w:tcPr>
            <w:tcW w:w="42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Post-summer demand tail</w:t>
            </w:r>
          </w:p>
        </w:tc>
      </w:tr>
      <w:tr>
        <w:trPr/>
        <w:tc>
          <w:tcPr>
            <w:tcW w:w="20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February</w:t>
            </w:r>
          </w:p>
        </w:tc>
        <w:tc>
          <w:tcPr>
            <w:tcW w:w="18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1,453</w:t>
            </w:r>
          </w:p>
        </w:tc>
        <w:tc>
          <w:tcPr>
            <w:tcW w:w="136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6</w:t>
            </w:r>
          </w:p>
        </w:tc>
        <w:tc>
          <w:tcPr>
            <w:tcW w:w="42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Pre-year-end recovery</w:t>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April</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693</w:t>
            </w:r>
          </w:p>
        </w:tc>
        <w:tc>
          <w:tcPr>
            <w:tcW w:w="136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12 (Lowest)</w:t>
            </w:r>
          </w:p>
        </w:tc>
        <w:tc>
          <w:tcPr>
            <w:tcW w:w="42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Post-year-end stock overhang</w:t>
            </w:r>
          </w:p>
        </w:tc>
      </w:tr>
    </w:tbl>
    <w:p>
      <w:pPr>
        <w:pStyle w:val="Normal"/>
        <w:spacing w:lineRule="auto" w:line="480"/>
        <w:rPr>
          <w:sz w:val="24"/>
          <w:szCs w:val="24"/>
        </w:rPr>
      </w:pPr>
      <w:r>
        <w:rPr>
          <w:sz w:val="24"/>
          <w:szCs w:val="24"/>
        </w:rPr>
      </w:r>
    </w:p>
    <w:p>
      <w:pPr>
        <w:pStyle w:val="Heading3"/>
        <w:rPr>
          <w:sz w:val="24"/>
          <w:szCs w:val="24"/>
        </w:rPr>
      </w:pPr>
      <w:bookmarkStart w:id="40" w:name="__RefHeading___Toc2750_4269637869"/>
      <w:bookmarkEnd w:id="40"/>
      <w:r>
        <w:rPr>
          <w:sz w:val="24"/>
          <w:szCs w:val="24"/>
        </w:rPr>
        <w:t>4.5.2  Incentive-Driven Demand Pattern</w:t>
      </w:r>
    </w:p>
    <w:p>
      <w:pPr>
        <w:pStyle w:val="Normal"/>
        <w:spacing w:lineRule="auto" w:line="480" w:before="0" w:after="200"/>
        <w:ind w:firstLine="720"/>
        <w:jc w:val="both"/>
        <w:rPr>
          <w:sz w:val="24"/>
          <w:szCs w:val="24"/>
        </w:rPr>
      </w:pPr>
      <w:r>
        <w:rPr>
          <w:sz w:val="24"/>
          <w:szCs w:val="24"/>
        </w:rPr>
        <w:t>A critical finding of this analysis, informed by direct operational knowledge of the business, is that the December and March peaks are not primarily driven by end-consumer seasonal demand. Instead, they are driven by structured retailer incentive schemes operated by the parent company. The two largest retail accounts — RETAILER_026 and RETAILER_021, which together represent 54.6% of total sales volume — operate under annual purchase target agreements with the brand principal. These targets are divided into quarterly sub-targets, with carry-forward provisions for missed quarterly targets.</w:t>
      </w:r>
    </w:p>
    <w:p>
      <w:pPr>
        <w:pStyle w:val="Normal"/>
        <w:spacing w:lineRule="auto" w:line="480" w:before="0" w:after="200"/>
        <w:ind w:firstLine="720"/>
        <w:jc w:val="both"/>
        <w:rPr>
          <w:sz w:val="24"/>
          <w:szCs w:val="24"/>
        </w:rPr>
      </w:pPr>
      <w:r>
        <w:rPr>
          <w:sz w:val="24"/>
          <w:szCs w:val="24"/>
        </w:rPr>
        <w:t>This incentive structure creates a predictable and recurring purchasing pattern as follows. During the third financial quarter (October to December), retailers who are behind on their annual targets accelerate purchases in December to close the gap before the quarter ends. This creates the consistently observed December spike. In the fourth quarter (January to March), any remaining annual target must be completed before the financial year closes on March 31, creating the March spike. The January crash that invariably follows the December spike is a direct consequence of this pattern: retailers who over-purchased in December to meet Q3 targets enter January with excess stock and suppress new orders until that stock depletes.</w:t>
      </w:r>
    </w:p>
    <w:p>
      <w:pPr>
        <w:pStyle w:val="Normal"/>
        <w:spacing w:lineRule="auto" w:line="480" w:before="0" w:after="200"/>
        <w:ind w:firstLine="720"/>
        <w:jc w:val="both"/>
        <w:rPr>
          <w:sz w:val="24"/>
          <w:szCs w:val="24"/>
        </w:rPr>
      </w:pPr>
      <w:r>
        <w:rPr>
          <w:sz w:val="24"/>
          <w:szCs w:val="24"/>
        </w:rPr>
        <w:t>The July and May peaks, by contrast, do not align with financial quarter-end months and are therefore attributed to genuine seasonal demand — specifically, summer season new collection arrivals and consumer fashion purchasing cycles.</w:t>
      </w:r>
    </w:p>
    <w:p>
      <w:pPr>
        <w:pStyle w:val="Normal"/>
        <w:spacing w:lineRule="auto" w:line="480" w:before="0" w:after="200"/>
        <w:ind w:firstLine="720"/>
        <w:jc w:val="both"/>
        <w:rPr>
          <w:sz w:val="24"/>
          <w:szCs w:val="24"/>
        </w:rPr>
      </w:pPr>
      <w:r>
        <w:rPr>
          <w:sz w:val="24"/>
          <w:szCs w:val="24"/>
        </w:rPr>
        <w:t>This distinction has important implications for forecasting. Simple time series models, including those developed in this study, cannot distinguish between incentive-driven bulk purchasing and genuine demand. As a result, the models systematically underestimate December peaks (when incentive-driven bulk buying occurs) and overestimate January demand (when post-bulk-buy suppression occurs). This finding is discussed further in the model evaluation section below and in the limitations section of Chapter 6.</w:t>
      </w:r>
    </w:p>
    <w:p>
      <w:pPr>
        <w:pStyle w:val="Normal"/>
        <w:spacing w:lineRule="auto" w:line="480"/>
        <w:rPr>
          <w:sz w:val="24"/>
          <w:szCs w:val="24"/>
        </w:rPr>
      </w:pPr>
      <w:r>
        <w:rPr>
          <w:sz w:val="24"/>
          <w:szCs w:val="24"/>
        </w:rPr>
      </w:r>
    </w:p>
    <w:p>
      <w:pPr>
        <w:pStyle w:val="Heading2"/>
        <w:rPr>
          <w:sz w:val="24"/>
          <w:szCs w:val="24"/>
        </w:rPr>
      </w:pPr>
      <w:bookmarkStart w:id="41" w:name="__RefHeading___Toc2752_4269637869"/>
      <w:bookmarkEnd w:id="41"/>
      <w:r>
        <w:rPr>
          <w:sz w:val="24"/>
          <w:szCs w:val="24"/>
        </w:rPr>
        <w:t>4.6  Purchase vs Sales Comparison</w:t>
      </w:r>
    </w:p>
    <w:p>
      <w:pPr>
        <w:pStyle w:val="Normal"/>
        <w:spacing w:lineRule="auto" w:line="480" w:before="0" w:after="200"/>
        <w:ind w:firstLine="720"/>
        <w:jc w:val="both"/>
        <w:rPr>
          <w:sz w:val="24"/>
          <w:szCs w:val="24"/>
        </w:rPr>
      </w:pPr>
      <w:r>
        <w:rPr>
          <w:sz w:val="24"/>
          <w:szCs w:val="24"/>
        </w:rPr>
        <w:t>A month-by-month comparison of purchase quantities (units procured from the parent company) and sales quantities (units billed to retailers) reveals the supply-demand relationship and identifies periods of overstock and understock at the distributor level.</w:t>
      </w:r>
    </w:p>
    <w:p>
      <w:pPr>
        <w:pStyle w:val="Normal"/>
        <w:spacing w:lineRule="auto" w:line="480" w:before="0" w:after="200"/>
        <w:ind w:firstLine="720"/>
        <w:jc w:val="both"/>
        <w:rPr>
          <w:sz w:val="24"/>
          <w:szCs w:val="24"/>
        </w:rPr>
      </w:pPr>
      <w:r>
        <w:rPr>
          <w:sz w:val="24"/>
          <w:szCs w:val="24"/>
        </w:rPr>
        <w:t>Over the full study period, the distributor purchased 23,927 units and sold 23,785 units, yielding an overall sell-through rate of 84.9%. This near-parity between procurement and sales is a positive indicator of inventory discipline. However, the monthly distribution reveals significant mismatches that aggregate into a balanced overall figure.</w:t>
      </w:r>
    </w:p>
    <w:p>
      <w:pPr>
        <w:pStyle w:val="Normal"/>
        <w:spacing w:lineRule="auto" w:line="480"/>
        <w:rPr>
          <w:sz w:val="24"/>
          <w:szCs w:val="24"/>
        </w:rPr>
      </w:pPr>
      <w:r>
        <w:rPr>
          <w:sz w:val="24"/>
          <w:szCs w:val="24"/>
        </w:rPr>
      </w:r>
    </w:p>
    <w:p>
      <w:pPr>
        <w:pStyle w:val="Normal"/>
        <w:spacing w:lineRule="auto" w:line="480" w:before="0" w:after="200"/>
        <w:jc w:val="both"/>
        <w:rPr>
          <w:sz w:val="24"/>
          <w:szCs w:val="24"/>
        </w:rPr>
      </w:pPr>
      <w:r>
        <w:rPr>
          <w:b/>
          <w:bCs/>
          <w:sz w:val="24"/>
          <w:szCs w:val="24"/>
        </w:rPr>
        <w:t>Table 4.7: Monthly Purchase vs Sales Status Summary</w:t>
      </w:r>
    </w:p>
    <w:tbl>
      <w:tblPr>
        <w:tblW w:w="9360" w:type="dxa"/>
        <w:jc w:val="start"/>
        <w:tblInd w:w="0" w:type="dxa"/>
        <w:tblLayout w:type="fixed"/>
        <w:tblCellMar>
          <w:top w:w="80" w:type="dxa"/>
          <w:start w:w="120" w:type="dxa"/>
          <w:bottom w:w="80" w:type="dxa"/>
          <w:end w:w="120" w:type="dxa"/>
        </w:tblCellMar>
        <w:tblLook w:noHBand="0" w:lastColumn="0" w:firstColumn="1" w:lastRow="0" w:firstRow="1" w:noVBand="1" w:val="04a0"/>
      </w:tblPr>
      <w:tblGrid>
        <w:gridCol w:w="2398"/>
        <w:gridCol w:w="2002"/>
        <w:gridCol w:w="4960"/>
      </w:tblGrid>
      <w:tr>
        <w:trPr/>
        <w:tc>
          <w:tcPr>
            <w:tcW w:w="2398"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Status</w:t>
            </w:r>
          </w:p>
        </w:tc>
        <w:tc>
          <w:tcPr>
            <w:tcW w:w="2002"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Months Count</w:t>
            </w:r>
          </w:p>
        </w:tc>
        <w:tc>
          <w:tcPr>
            <w:tcW w:w="496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Description</w:t>
            </w:r>
          </w:p>
        </w:tc>
      </w:tr>
      <w:tr>
        <w:trPr/>
        <w:tc>
          <w:tcPr>
            <w:tcW w:w="239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BALANCED (within ±100 units)</w:t>
            </w:r>
          </w:p>
        </w:tc>
        <w:tc>
          <w:tcPr>
            <w:tcW w:w="200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14 months</w:t>
            </w:r>
          </w:p>
        </w:tc>
        <w:tc>
          <w:tcPr>
            <w:tcW w:w="496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Purchase closely matched sales demand</w:t>
            </w:r>
          </w:p>
        </w:tc>
      </w:tr>
      <w:tr>
        <w:trPr/>
        <w:tc>
          <w:tcPr>
            <w:tcW w:w="2398"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OVERSTOCK (purchased &gt;100 more than sold)</w:t>
            </w:r>
          </w:p>
        </w:tc>
        <w:tc>
          <w:tcPr>
            <w:tcW w:w="2002"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11 months</w:t>
            </w:r>
          </w:p>
        </w:tc>
        <w:tc>
          <w:tcPr>
            <w:tcW w:w="496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Excess procurement created carry-forward inventory</w:t>
            </w:r>
          </w:p>
        </w:tc>
      </w:tr>
      <w:tr>
        <w:trPr/>
        <w:tc>
          <w:tcPr>
            <w:tcW w:w="239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UNDERSTOCK (sold &gt;100 more than purchased)</w:t>
            </w:r>
          </w:p>
        </w:tc>
        <w:tc>
          <w:tcPr>
            <w:tcW w:w="2002"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4 months</w:t>
            </w:r>
          </w:p>
        </w:tc>
        <w:tc>
          <w:tcPr>
            <w:tcW w:w="496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Demand exceeded available stock — lost sales risk</w:t>
            </w:r>
          </w:p>
        </w:tc>
      </w:tr>
    </w:tbl>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The most significant understock event occurred in August 2025, when sales exceeded purchases by 439 units. Analysis of the stock snapshot data confirms that the D143 style — the top-selling style — recorded near-zero stock levels during this period. This stockout was a direct consequence of the July 2025 sales spike (1,595 units — the period peak) depleting warehouse inventory faster than new purchase orders could be fulfilled given the company's lead time.</w:t>
      </w:r>
    </w:p>
    <w:p>
      <w:pPr>
        <w:pStyle w:val="Normal"/>
        <w:spacing w:lineRule="auto" w:line="480" w:before="0" w:after="200"/>
        <w:ind w:firstLine="720"/>
        <w:jc w:val="both"/>
        <w:rPr>
          <w:sz w:val="24"/>
          <w:szCs w:val="24"/>
        </w:rPr>
      </w:pPr>
      <w:r>
        <w:rPr>
          <w:sz w:val="24"/>
          <w:szCs w:val="24"/>
        </w:rPr>
        <w:t>November 2023 recorded the largest overstock event (+2,357 units), attributable to the initial bulk stock transfer during the firm transition rather than a demand planning failure. Excluding this exceptional month, the remaining overstock events are moderate and consistent with normal inventory buffer management.</w:t>
      </w:r>
    </w:p>
    <w:p>
      <w:pPr>
        <w:pStyle w:val="Normal"/>
        <w:spacing w:lineRule="auto" w:line="480"/>
        <w:rPr>
          <w:sz w:val="24"/>
          <w:szCs w:val="24"/>
        </w:rPr>
      </w:pPr>
      <w:r>
        <w:rPr>
          <w:sz w:val="24"/>
          <w:szCs w:val="24"/>
        </w:rPr>
      </w:r>
    </w:p>
    <w:p>
      <w:pPr>
        <w:pStyle w:val="Heading2"/>
        <w:rPr>
          <w:sz w:val="24"/>
          <w:szCs w:val="24"/>
        </w:rPr>
      </w:pPr>
      <w:r>
        <w:rPr>
          <w:sz w:val="24"/>
          <w:szCs w:val="24"/>
        </w:rPr>
      </w:r>
    </w:p>
    <w:p>
      <w:pPr>
        <w:pStyle w:val="Heading2"/>
        <w:rPr>
          <w:sz w:val="24"/>
          <w:szCs w:val="24"/>
        </w:rPr>
      </w:pPr>
      <w:r>
        <w:rPr>
          <w:sz w:val="24"/>
          <w:szCs w:val="24"/>
        </w:rPr>
      </w:r>
    </w:p>
    <w:p>
      <w:pPr>
        <w:pStyle w:val="Heading2"/>
        <w:rPr>
          <w:sz w:val="24"/>
          <w:szCs w:val="24"/>
        </w:rPr>
      </w:pPr>
      <w:bookmarkStart w:id="42" w:name="__RefHeading___Toc2754_4269637869"/>
      <w:bookmarkEnd w:id="42"/>
      <w:r>
        <w:rPr>
          <w:sz w:val="24"/>
          <w:szCs w:val="24"/>
        </w:rPr>
        <w:t>4.7  Demand Forecasting Model Development and Evaluation</w:t>
      </w:r>
    </w:p>
    <w:p>
      <w:pPr>
        <w:pStyle w:val="Heading3"/>
        <w:rPr>
          <w:sz w:val="24"/>
          <w:szCs w:val="24"/>
        </w:rPr>
      </w:pPr>
      <w:bookmarkStart w:id="43" w:name="__RefHeading___Toc2756_4269637869"/>
      <w:bookmarkEnd w:id="43"/>
      <w:r>
        <w:rPr>
          <w:sz w:val="24"/>
          <w:szCs w:val="24"/>
        </w:rPr>
        <w:t>4.7.1  Model Design and Data Preparation</w:t>
      </w:r>
    </w:p>
    <w:p>
      <w:pPr>
        <w:pStyle w:val="Normal"/>
        <w:spacing w:lineRule="auto" w:line="480" w:before="0" w:after="200"/>
        <w:ind w:firstLine="720"/>
        <w:jc w:val="both"/>
        <w:rPr>
          <w:sz w:val="24"/>
          <w:szCs w:val="24"/>
        </w:rPr>
      </w:pPr>
      <w:r>
        <w:rPr>
          <w:sz w:val="24"/>
          <w:szCs w:val="24"/>
        </w:rPr>
        <w:t>The demand forecasting model was developed using Python, with two complementary approaches evaluated: a three-month Moving Average (MA3) model and a Linear Regression model incorporating seasonal features. Both models were applied at two levels of granularity: the individual SKU level (using style D143, color BLACK, size 36C as the representative SKU) and the style level (aggregating all SKU variants of style D143).</w:t>
      </w:r>
    </w:p>
    <w:p>
      <w:pPr>
        <w:pStyle w:val="Normal"/>
        <w:spacing w:lineRule="auto" w:line="480" w:before="0" w:after="200"/>
        <w:ind w:firstLine="720"/>
        <w:jc w:val="both"/>
        <w:rPr>
          <w:sz w:val="24"/>
          <w:szCs w:val="24"/>
        </w:rPr>
      </w:pPr>
      <w:r>
        <w:rPr>
          <w:sz w:val="24"/>
          <w:szCs w:val="24"/>
        </w:rPr>
        <w:t>The training dataset comprised 25 months of sales data from November 2023 to November 2025. The test dataset consisted of 4 months from December 2025 to March 2026. This train-test split represents an 86:14 ratio, appropriate for the available data volume. For the Linear Regression model, seasonal features were engineered using sine and cosine transformations of the month-of-year variable, enabling the model to capture cyclical patterns without requiring explicit month dummy variables.</w:t>
      </w:r>
    </w:p>
    <w:p>
      <w:pPr>
        <w:pStyle w:val="Normal"/>
        <w:spacing w:lineRule="auto" w:line="480"/>
        <w:rPr>
          <w:sz w:val="24"/>
          <w:szCs w:val="24"/>
        </w:rPr>
      </w:pPr>
      <w:r>
        <w:rPr>
          <w:sz w:val="24"/>
          <w:szCs w:val="24"/>
        </w:rPr>
      </w:r>
    </w:p>
    <w:p>
      <w:pPr>
        <w:pStyle w:val="Heading3"/>
        <w:rPr>
          <w:sz w:val="24"/>
          <w:szCs w:val="24"/>
        </w:rPr>
      </w:pPr>
      <w:bookmarkStart w:id="44" w:name="__RefHeading___Toc2758_4269637869"/>
      <w:bookmarkEnd w:id="44"/>
      <w:r>
        <w:rPr>
          <w:sz w:val="24"/>
          <w:szCs w:val="24"/>
        </w:rPr>
        <w:t>4.7.2  SKU-Level Model Results</w:t>
      </w:r>
    </w:p>
    <w:p>
      <w:pPr>
        <w:pStyle w:val="Normal"/>
        <w:spacing w:lineRule="auto" w:line="480" w:before="0" w:after="200"/>
        <w:ind w:firstLine="720"/>
        <w:jc w:val="both"/>
        <w:rPr>
          <w:sz w:val="24"/>
          <w:szCs w:val="24"/>
        </w:rPr>
      </w:pPr>
      <w:r>
        <w:rPr>
          <w:sz w:val="24"/>
          <w:szCs w:val="24"/>
        </w:rPr>
        <w:t>At the individual SKU level, the models produced the following evaluation metrics on the four-month test period.</w:t>
      </w:r>
    </w:p>
    <w:p>
      <w:pPr>
        <w:pStyle w:val="Normal"/>
        <w:spacing w:lineRule="auto" w:line="480"/>
        <w:rPr>
          <w:sz w:val="24"/>
          <w:szCs w:val="24"/>
        </w:rPr>
      </w:pPr>
      <w:r>
        <w:rPr>
          <w:sz w:val="24"/>
          <w:szCs w:val="24"/>
        </w:rPr>
      </w:r>
    </w:p>
    <w:p>
      <w:pPr>
        <w:pStyle w:val="Normal"/>
        <w:spacing w:lineRule="auto" w:line="480" w:before="0" w:after="200"/>
        <w:jc w:val="both"/>
        <w:rPr>
          <w:sz w:val="24"/>
          <w:szCs w:val="24"/>
        </w:rPr>
      </w:pPr>
      <w:r>
        <w:rPr>
          <w:b/>
          <w:bCs/>
          <w:sz w:val="24"/>
          <w:szCs w:val="24"/>
        </w:rPr>
        <w:t>Table 4.8: SKU-Level Forecasting Model Evaluation (D143_BLACK_36C)</w:t>
      </w:r>
    </w:p>
    <w:tbl>
      <w:tblPr>
        <w:tblW w:w="9360" w:type="dxa"/>
        <w:jc w:val="start"/>
        <w:tblInd w:w="0" w:type="dxa"/>
        <w:tblLayout w:type="fixed"/>
        <w:tblCellMar>
          <w:top w:w="80" w:type="dxa"/>
          <w:start w:w="120" w:type="dxa"/>
          <w:bottom w:w="80" w:type="dxa"/>
          <w:end w:w="120" w:type="dxa"/>
        </w:tblCellMar>
        <w:tblLook w:noHBand="0" w:lastColumn="0" w:firstColumn="1" w:lastRow="0" w:firstRow="1" w:noVBand="1" w:val="04a0"/>
      </w:tblPr>
      <w:tblGrid>
        <w:gridCol w:w="2398"/>
        <w:gridCol w:w="3481"/>
        <w:gridCol w:w="3481"/>
      </w:tblGrid>
      <w:tr>
        <w:trPr/>
        <w:tc>
          <w:tcPr>
            <w:tcW w:w="2398"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Metric</w:t>
            </w:r>
          </w:p>
        </w:tc>
        <w:tc>
          <w:tcPr>
            <w:tcW w:w="3481"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Moving Average (MA3)</w:t>
            </w:r>
          </w:p>
        </w:tc>
        <w:tc>
          <w:tcPr>
            <w:tcW w:w="3481"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Linear Regression</w:t>
            </w:r>
          </w:p>
        </w:tc>
      </w:tr>
      <w:tr>
        <w:trPr/>
        <w:tc>
          <w:tcPr>
            <w:tcW w:w="239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Mean Absolute Error (MAE)</w:t>
            </w:r>
          </w:p>
        </w:tc>
        <w:tc>
          <w:tcPr>
            <w:tcW w:w="3481"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2.92 units</w:t>
            </w:r>
          </w:p>
        </w:tc>
        <w:tc>
          <w:tcPr>
            <w:tcW w:w="3481"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2.75 units</w:t>
            </w:r>
          </w:p>
        </w:tc>
      </w:tr>
      <w:tr>
        <w:trPr/>
        <w:tc>
          <w:tcPr>
            <w:tcW w:w="2398"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Root Mean Squared Error (RMSE)</w:t>
            </w:r>
          </w:p>
        </w:tc>
        <w:tc>
          <w:tcPr>
            <w:tcW w:w="3481"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3.02 units</w:t>
            </w:r>
          </w:p>
        </w:tc>
        <w:tc>
          <w:tcPr>
            <w:tcW w:w="3481"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2.87 units</w:t>
            </w:r>
          </w:p>
        </w:tc>
      </w:tr>
      <w:tr>
        <w:trPr/>
        <w:tc>
          <w:tcPr>
            <w:tcW w:w="239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Mean Absolute Percentage Error (MAPE)</w:t>
            </w:r>
          </w:p>
        </w:tc>
        <w:tc>
          <w:tcPr>
            <w:tcW w:w="3481"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134.5%</w:t>
            </w:r>
          </w:p>
        </w:tc>
        <w:tc>
          <w:tcPr>
            <w:tcW w:w="3481"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125.0%</w:t>
            </w:r>
          </w:p>
        </w:tc>
      </w:tr>
    </w:tbl>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The Linear Regression model marginally outperforms the Moving Average on all three metrics at the SKU level. The MAPE values appear high (125-134%) but must be interpreted in the context of the extremely low monthly volumes at this level of granularity. The SKU under analysis — D143_BLACK_36C — sold between 1 and 9 units per month. At such small absolute quantities, even a small absolute error (e.g., predicting 3 units when actual is 1) translates to a 200% percentage error. The MAE of 2.75 units per month is therefore the more operationally meaningful metric: the model's predictions deviate from actual sales by fewer than 3 units per month on average.</w:t>
      </w:r>
    </w:p>
    <w:p>
      <w:pPr>
        <w:pStyle w:val="Normal"/>
        <w:spacing w:lineRule="auto" w:line="480"/>
        <w:rPr>
          <w:sz w:val="24"/>
          <w:szCs w:val="24"/>
        </w:rPr>
      </w:pPr>
      <w:r>
        <w:rPr>
          <w:sz w:val="24"/>
          <w:szCs w:val="24"/>
        </w:rPr>
      </w:r>
    </w:p>
    <w:p>
      <w:pPr>
        <w:pStyle w:val="Heading3"/>
        <w:rPr>
          <w:sz w:val="24"/>
          <w:szCs w:val="24"/>
        </w:rPr>
      </w:pPr>
      <w:bookmarkStart w:id="45" w:name="__RefHeading___Toc2760_4269637869"/>
      <w:bookmarkEnd w:id="45"/>
      <w:r>
        <w:rPr>
          <w:sz w:val="24"/>
          <w:szCs w:val="24"/>
        </w:rPr>
        <w:t>4.7.3  Style-Level Model Results</w:t>
      </w:r>
    </w:p>
    <w:p>
      <w:pPr>
        <w:pStyle w:val="Normal"/>
        <w:spacing w:lineRule="auto" w:line="480" w:before="0" w:after="200"/>
        <w:ind w:firstLine="720"/>
        <w:jc w:val="both"/>
        <w:rPr>
          <w:sz w:val="24"/>
          <w:szCs w:val="24"/>
        </w:rPr>
      </w:pPr>
      <w:r>
        <w:rPr>
          <w:sz w:val="24"/>
          <w:szCs w:val="24"/>
        </w:rPr>
        <w:t>At the style level, where all variants of style D143 are aggregated into a monthly series with an average of 188.7 units per month, the models produced the following results.</w:t>
      </w:r>
    </w:p>
    <w:p>
      <w:pPr>
        <w:pStyle w:val="Normal"/>
        <w:spacing w:lineRule="auto" w:line="480"/>
        <w:rPr>
          <w:sz w:val="24"/>
          <w:szCs w:val="24"/>
        </w:rPr>
      </w:pPr>
      <w:r>
        <w:rPr>
          <w:sz w:val="24"/>
          <w:szCs w:val="24"/>
        </w:rPr>
      </w:r>
    </w:p>
    <w:p>
      <w:pPr>
        <w:pStyle w:val="Normal"/>
        <w:spacing w:lineRule="auto" w:line="480" w:before="0" w:after="200"/>
        <w:jc w:val="both"/>
        <w:rPr>
          <w:sz w:val="24"/>
          <w:szCs w:val="24"/>
        </w:rPr>
      </w:pPr>
      <w:r>
        <w:rPr>
          <w:b/>
          <w:bCs/>
          <w:sz w:val="24"/>
          <w:szCs w:val="24"/>
        </w:rPr>
        <w:t>Table 4.9: Style-Level Forecasting Model Evaluation (D143 — All Variants)</w:t>
      </w:r>
    </w:p>
    <w:tbl>
      <w:tblPr>
        <w:tblW w:w="9360" w:type="dxa"/>
        <w:jc w:val="start"/>
        <w:tblInd w:w="0" w:type="dxa"/>
        <w:tblLayout w:type="fixed"/>
        <w:tblCellMar>
          <w:top w:w="80" w:type="dxa"/>
          <w:start w:w="120" w:type="dxa"/>
          <w:bottom w:w="80" w:type="dxa"/>
          <w:end w:w="120" w:type="dxa"/>
        </w:tblCellMar>
        <w:tblLook w:noHBand="0" w:lastColumn="0" w:firstColumn="1" w:lastRow="0" w:firstRow="1" w:noVBand="1" w:val="04a0"/>
      </w:tblPr>
      <w:tblGrid>
        <w:gridCol w:w="2398"/>
        <w:gridCol w:w="3481"/>
        <w:gridCol w:w="3481"/>
      </w:tblGrid>
      <w:tr>
        <w:trPr/>
        <w:tc>
          <w:tcPr>
            <w:tcW w:w="2398"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Metric</w:t>
            </w:r>
          </w:p>
        </w:tc>
        <w:tc>
          <w:tcPr>
            <w:tcW w:w="3481"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Moving Average (MA3)</w:t>
            </w:r>
          </w:p>
        </w:tc>
        <w:tc>
          <w:tcPr>
            <w:tcW w:w="3481"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Linear Regression</w:t>
            </w:r>
          </w:p>
        </w:tc>
      </w:tr>
      <w:tr>
        <w:trPr/>
        <w:tc>
          <w:tcPr>
            <w:tcW w:w="239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Mean Absolute Error (MAE)</w:t>
            </w:r>
          </w:p>
        </w:tc>
        <w:tc>
          <w:tcPr>
            <w:tcW w:w="3481"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145.0 units</w:t>
            </w:r>
          </w:p>
        </w:tc>
        <w:tc>
          <w:tcPr>
            <w:tcW w:w="3481"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134.8 units</w:t>
            </w:r>
          </w:p>
        </w:tc>
      </w:tr>
      <w:tr>
        <w:trPr/>
        <w:tc>
          <w:tcPr>
            <w:tcW w:w="2398"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Root Mean Squared Error (RMSE)</w:t>
            </w:r>
          </w:p>
        </w:tc>
        <w:tc>
          <w:tcPr>
            <w:tcW w:w="3481"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177.8 units</w:t>
            </w:r>
          </w:p>
        </w:tc>
        <w:tc>
          <w:tcPr>
            <w:tcW w:w="3481"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166.8 units</w:t>
            </w:r>
          </w:p>
        </w:tc>
      </w:tr>
      <w:tr>
        <w:trPr/>
        <w:tc>
          <w:tcPr>
            <w:tcW w:w="2398"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Mean Absolute Percentage Error (MAPE)</w:t>
            </w:r>
          </w:p>
        </w:tc>
        <w:tc>
          <w:tcPr>
            <w:tcW w:w="3481"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231.9%</w:t>
            </w:r>
          </w:p>
        </w:tc>
        <w:tc>
          <w:tcPr>
            <w:tcW w:w="3481"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212.7%</w:t>
            </w:r>
          </w:p>
        </w:tc>
      </w:tr>
    </w:tbl>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The high MAPE values at the style level are driven primarily by two extreme months in the test period: December 2025, when actual sales were 452 units against a model prediction of 150-171 units, and January 2026, when actual sales were 21 units against predictions of 179-193 units. As analyzed in Section 4.5, the December spike represents incentive-driven bulk purchasing by RETAILER_026, and the January crash represents the subsequent demand suppression caused by excess retailer inventory. Neither of these events can be reliably predicted by a time series model without explicit knowledge of the retailer's target status and current stock position.</w:t>
      </w:r>
    </w:p>
    <w:p>
      <w:pPr>
        <w:pStyle w:val="Normal"/>
        <w:spacing w:lineRule="auto" w:line="480" w:before="0" w:after="200"/>
        <w:ind w:firstLine="720"/>
        <w:jc w:val="both"/>
        <w:rPr>
          <w:sz w:val="24"/>
          <w:szCs w:val="24"/>
        </w:rPr>
      </w:pPr>
      <w:r>
        <w:rPr>
          <w:sz w:val="24"/>
          <w:szCs w:val="24"/>
        </w:rPr>
        <w:t>For the remaining test months — February 2026 (actual 209, Linear Regression predicted 193) and March 2026 (actual 294, LR predicted 210) — the model performs considerably better, with percentage errors of 7.7% and 28.6% respectively. These months represent more typical demand conditions unaffected by incentive-driven bulk purchasing, and the model's directional accuracy is confirmed.</w:t>
      </w:r>
    </w:p>
    <w:p>
      <w:pPr>
        <w:pStyle w:val="Normal"/>
        <w:spacing w:lineRule="auto" w:line="480" w:before="0" w:after="200"/>
        <w:ind w:firstLine="720"/>
        <w:jc w:val="both"/>
        <w:rPr>
          <w:sz w:val="24"/>
          <w:szCs w:val="24"/>
        </w:rPr>
      </w:pPr>
      <w:r>
        <w:rPr>
          <w:sz w:val="24"/>
          <w:szCs w:val="24"/>
        </w:rPr>
        <w:t>Chart 4.9 (see Appendix) presents the full actual vs predicted vs forecast chart for style D143, showing the training period, test period, and forward projections for April through June 2026.</w:t>
      </w:r>
    </w:p>
    <w:p>
      <w:pPr>
        <w:pStyle w:val="Normal"/>
        <w:spacing w:lineRule="auto" w:line="480"/>
        <w:rPr>
          <w:sz w:val="24"/>
          <w:szCs w:val="24"/>
        </w:rPr>
      </w:pPr>
      <w:r>
        <w:rPr>
          <w:sz w:val="24"/>
          <w:szCs w:val="24"/>
        </w:rPr>
      </w:r>
    </w:p>
    <w:p>
      <w:pPr>
        <w:pStyle w:val="Heading3"/>
        <w:rPr>
          <w:sz w:val="24"/>
          <w:szCs w:val="24"/>
        </w:rPr>
      </w:pPr>
      <w:bookmarkStart w:id="46" w:name="__RefHeading___Toc2762_4269637869"/>
      <w:bookmarkEnd w:id="46"/>
      <w:r>
        <w:rPr>
          <w:sz w:val="24"/>
          <w:szCs w:val="24"/>
        </w:rPr>
        <w:t>4.7.4  Three-Month Ahead Forecast</w:t>
      </w:r>
    </w:p>
    <w:p>
      <w:pPr>
        <w:pStyle w:val="Normal"/>
        <w:spacing w:lineRule="auto" w:line="480" w:before="0" w:after="200"/>
        <w:ind w:firstLine="720"/>
        <w:jc w:val="both"/>
        <w:rPr>
          <w:sz w:val="24"/>
          <w:szCs w:val="24"/>
        </w:rPr>
      </w:pPr>
      <w:r>
        <w:rPr>
          <w:sz w:val="24"/>
          <w:szCs w:val="24"/>
        </w:rPr>
        <w:t>Using both models, the three-month ahead forecast for the D143 style (April to June 2026) is presented in Table 4.10. These predictions represent the expected monthly demand for this style code in the opening quarter of FY 2026-27, based on the patterns observed during the training period.</w:t>
      </w:r>
    </w:p>
    <w:p>
      <w:pPr>
        <w:pStyle w:val="Normal"/>
        <w:spacing w:lineRule="auto" w:line="480"/>
        <w:rPr>
          <w:sz w:val="24"/>
          <w:szCs w:val="24"/>
        </w:rPr>
      </w:pPr>
      <w:r>
        <w:rPr>
          <w:sz w:val="24"/>
          <w:szCs w:val="24"/>
        </w:rPr>
      </w:r>
    </w:p>
    <w:p>
      <w:pPr>
        <w:pStyle w:val="Normal"/>
        <w:spacing w:lineRule="auto" w:line="480" w:before="0" w:after="200"/>
        <w:jc w:val="both"/>
        <w:rPr>
          <w:b/>
          <w:bCs/>
          <w:sz w:val="24"/>
          <w:szCs w:val="24"/>
        </w:rPr>
      </w:pPr>
      <w:r>
        <w:rPr>
          <w:b/>
          <w:bCs/>
          <w:sz w:val="24"/>
          <w:szCs w:val="24"/>
        </w:rPr>
      </w:r>
    </w:p>
    <w:p>
      <w:pPr>
        <w:pStyle w:val="Normal"/>
        <w:spacing w:lineRule="auto" w:line="480" w:before="0" w:after="200"/>
        <w:jc w:val="both"/>
        <w:rPr>
          <w:b/>
          <w:bCs/>
          <w:sz w:val="24"/>
          <w:szCs w:val="24"/>
        </w:rPr>
      </w:pPr>
      <w:r>
        <w:rPr>
          <w:b/>
          <w:bCs/>
          <w:sz w:val="24"/>
          <w:szCs w:val="24"/>
        </w:rPr>
        <w:t>Table 4.10: Three-Month Demand Forecast — D143 Style (Apr–Jun 2026)</w:t>
      </w:r>
    </w:p>
    <w:tbl>
      <w:tblPr>
        <w:tblW w:w="9360" w:type="dxa"/>
        <w:jc w:val="start"/>
        <w:tblInd w:w="0" w:type="dxa"/>
        <w:tblLayout w:type="fixed"/>
        <w:tblCellMar>
          <w:top w:w="80" w:type="dxa"/>
          <w:start w:w="120" w:type="dxa"/>
          <w:bottom w:w="80" w:type="dxa"/>
          <w:end w:w="120" w:type="dxa"/>
        </w:tblCellMar>
        <w:tblLook w:noHBand="0" w:lastColumn="0" w:firstColumn="1" w:lastRow="0" w:firstRow="1" w:noVBand="1" w:val="04a0"/>
      </w:tblPr>
      <w:tblGrid>
        <w:gridCol w:w="2000"/>
        <w:gridCol w:w="2400"/>
        <w:gridCol w:w="2600"/>
        <w:gridCol w:w="2360"/>
      </w:tblGrid>
      <w:tr>
        <w:trPr/>
        <w:tc>
          <w:tcPr>
            <w:tcW w:w="200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Month</w:t>
            </w:r>
          </w:p>
        </w:tc>
        <w:tc>
          <w:tcPr>
            <w:tcW w:w="240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Moving Average Forecast</w:t>
            </w:r>
          </w:p>
        </w:tc>
        <w:tc>
          <w:tcPr>
            <w:tcW w:w="260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Linear Regression Forecast</w:t>
            </w:r>
          </w:p>
        </w:tc>
        <w:tc>
          <w:tcPr>
            <w:tcW w:w="2360" w:type="dxa"/>
            <w:tcBorders>
              <w:top w:val="single" w:sz="2" w:space="0" w:color="CCCCCC"/>
              <w:start w:val="single" w:sz="2" w:space="0" w:color="CCCCCC"/>
              <w:bottom w:val="single" w:sz="2" w:space="0" w:color="CCCCCC"/>
              <w:end w:val="single" w:sz="2" w:space="0" w:color="CCCCCC"/>
            </w:tcBorders>
            <w:shd w:color="auto" w:fill="2563EB" w:val="clear"/>
          </w:tcPr>
          <w:p>
            <w:pPr>
              <w:pStyle w:val="Normal"/>
              <w:jc w:val="center"/>
              <w:rPr>
                <w:sz w:val="24"/>
                <w:szCs w:val="24"/>
              </w:rPr>
            </w:pPr>
            <w:r>
              <w:rPr>
                <w:b/>
                <w:bCs/>
                <w:color w:val="FFFFFF"/>
                <w:sz w:val="24"/>
                <w:szCs w:val="24"/>
              </w:rPr>
              <w:t>Recommended Order Qty</w:t>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April 2026</w:t>
            </w:r>
          </w:p>
        </w:tc>
        <w:tc>
          <w:tcPr>
            <w:tcW w:w="2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175 units</w:t>
            </w:r>
          </w:p>
        </w:tc>
        <w:tc>
          <w:tcPr>
            <w:tcW w:w="2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226 units</w:t>
            </w:r>
          </w:p>
        </w:tc>
        <w:tc>
          <w:tcPr>
            <w:tcW w:w="236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200 units</w:t>
            </w:r>
          </w:p>
        </w:tc>
      </w:tr>
      <w:tr>
        <w:trPr/>
        <w:tc>
          <w:tcPr>
            <w:tcW w:w="20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May 2026</w:t>
            </w:r>
          </w:p>
        </w:tc>
        <w:tc>
          <w:tcPr>
            <w:tcW w:w="24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226 units</w:t>
            </w:r>
          </w:p>
        </w:tc>
        <w:tc>
          <w:tcPr>
            <w:tcW w:w="260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236 units</w:t>
            </w:r>
          </w:p>
        </w:tc>
        <w:tc>
          <w:tcPr>
            <w:tcW w:w="2360" w:type="dxa"/>
            <w:tcBorders>
              <w:top w:val="single" w:sz="2" w:space="0" w:color="CCCCCC"/>
              <w:start w:val="single" w:sz="2" w:space="0" w:color="CCCCCC"/>
              <w:bottom w:val="single" w:sz="2" w:space="0" w:color="CCCCCC"/>
              <w:end w:val="single" w:sz="2" w:space="0" w:color="CCCCCC"/>
            </w:tcBorders>
            <w:shd w:color="auto" w:fill="EFF4FF" w:val="clear"/>
          </w:tcPr>
          <w:p>
            <w:pPr>
              <w:pStyle w:val="Normal"/>
              <w:jc w:val="center"/>
              <w:rPr>
                <w:sz w:val="24"/>
                <w:szCs w:val="24"/>
              </w:rPr>
            </w:pPr>
            <w:r>
              <w:rPr>
                <w:color w:val="000000"/>
                <w:sz w:val="24"/>
                <w:szCs w:val="24"/>
              </w:rPr>
              <w:t>230 units</w:t>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June 2026</w:t>
            </w:r>
          </w:p>
        </w:tc>
        <w:tc>
          <w:tcPr>
            <w:tcW w:w="2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232 units</w:t>
            </w:r>
          </w:p>
        </w:tc>
        <w:tc>
          <w:tcPr>
            <w:tcW w:w="2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239 units</w:t>
            </w:r>
          </w:p>
        </w:tc>
        <w:tc>
          <w:tcPr>
            <w:tcW w:w="2360"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sz w:val="24"/>
                <w:szCs w:val="24"/>
              </w:rPr>
            </w:pPr>
            <w:r>
              <w:rPr>
                <w:color w:val="000000"/>
                <w:sz w:val="24"/>
                <w:szCs w:val="24"/>
              </w:rPr>
              <w:t>235 units</w:t>
            </w:r>
          </w:p>
        </w:tc>
      </w:tr>
    </w:tbl>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The recommended order quantity represents a simple average of both model outputs, rounded to the nearest 5 units. The upward trend from April to June aligns with the historical pattern of May typically being a strong pre-summer demand month. The April forecast of 175-226 units is conservative relative to the historical average of 188.7 units, reflecting the post-March-year-end demand suppression effect observed in prior years, where April consistently records among the lowest monthly sales of the financial year.</w:t>
      </w:r>
    </w:p>
    <w:p>
      <w:pPr>
        <w:pStyle w:val="Normal"/>
        <w:spacing w:lineRule="auto" w:line="480" w:before="0" w:after="200"/>
        <w:ind w:firstLine="720"/>
        <w:jc w:val="both"/>
        <w:rPr>
          <w:sz w:val="24"/>
          <w:szCs w:val="24"/>
        </w:rPr>
      </w:pPr>
      <w:r>
        <w:rPr>
          <w:sz w:val="24"/>
          <w:szCs w:val="24"/>
        </w:rPr>
        <w:t>It is emphasized that these forecasts should be used as a directional planning guide rather than precise purchase quantities. The models are currently trained on approximately 25 months of data, and their accuracy will improve materially as additional structured transaction data accumulates through the continued operation of the digital order management system.</w:t>
      </w:r>
    </w:p>
    <w:p>
      <w:pPr>
        <w:pStyle w:val="Normal"/>
        <w:spacing w:lineRule="auto" w:line="480"/>
        <w:rPr>
          <w:sz w:val="24"/>
          <w:szCs w:val="24"/>
        </w:rPr>
      </w:pPr>
      <w:r>
        <w:rPr>
          <w:sz w:val="24"/>
          <w:szCs w:val="24"/>
        </w:rPr>
      </w:r>
    </w:p>
    <w:p>
      <w:pPr>
        <w:pStyle w:val="Heading2"/>
        <w:rPr>
          <w:sz w:val="24"/>
          <w:szCs w:val="24"/>
        </w:rPr>
      </w:pPr>
      <w:bookmarkStart w:id="47" w:name="__RefHeading___Toc2764_4269637869"/>
      <w:bookmarkEnd w:id="47"/>
      <w:r>
        <w:rPr>
          <w:sz w:val="24"/>
          <w:szCs w:val="24"/>
        </w:rPr>
        <w:t>4.8  Stock Analysis</w:t>
      </w:r>
    </w:p>
    <w:p>
      <w:pPr>
        <w:pStyle w:val="Normal"/>
        <w:spacing w:lineRule="auto" w:line="480" w:before="0" w:after="200"/>
        <w:ind w:firstLine="720"/>
        <w:jc w:val="both"/>
        <w:rPr>
          <w:sz w:val="24"/>
          <w:szCs w:val="24"/>
        </w:rPr>
      </w:pPr>
      <w:r>
        <w:rPr>
          <w:sz w:val="24"/>
          <w:szCs w:val="24"/>
        </w:rPr>
        <w:t>Analysis of the 132 usable daily stock snapshots collected between November 2025 and March 2026 provides a time-series view of warehouse inventory positions. The stock snapshot data for style D143 reveals a pattern of significant inventory depletion events that are directly correlated with the demand spikes identified in the monthly sales analysis.</w:t>
      </w:r>
    </w:p>
    <w:p>
      <w:pPr>
        <w:pStyle w:val="Normal"/>
        <w:spacing w:lineRule="auto" w:line="480" w:before="0" w:after="200"/>
        <w:ind w:firstLine="720"/>
        <w:jc w:val="both"/>
        <w:rPr>
          <w:sz w:val="24"/>
          <w:szCs w:val="24"/>
        </w:rPr>
      </w:pPr>
      <w:r>
        <w:rPr>
          <w:sz w:val="24"/>
          <w:szCs w:val="24"/>
        </w:rPr>
        <w:t>As of March 31, 2026 — the final snapshot in the dataset — the distributor held 2,124 units across 954 active SKUs. The average stock per tracked SKU was approximately 2.2 units, indicating a lean inventory position. The most heavily stocked SKUs as of the period end were predominantly NR14-style variants, suggesting that stock for this style had accumulated due to lower-than-expected offtake in the final weeks of the financial year.</w:t>
      </w:r>
    </w:p>
    <w:p>
      <w:pPr>
        <w:pStyle w:val="Normal"/>
        <w:spacing w:lineRule="auto" w:line="480" w:before="0" w:after="200"/>
        <w:ind w:firstLine="720"/>
        <w:jc w:val="both"/>
        <w:rPr>
          <w:sz w:val="24"/>
          <w:szCs w:val="24"/>
        </w:rPr>
      </w:pPr>
      <w:r>
        <w:rPr>
          <w:sz w:val="24"/>
          <w:szCs w:val="24"/>
        </w:rPr>
        <w:t>The D143 style stock trend over the snapshot period reveals two critical near-stockout events: one in early January 2026, following the December 2025 bulk purchase that depleted warehouse stock, and one in late March 2026, following the year-end bulk purchase spike. Both events validate the demand pattern analysis in Section 4.5 and confirm that the current inventory planning approach — based on experience rather than data — is insufficient to prevent stockouts during demand peak events.</w:t>
      </w:r>
    </w:p>
    <w:p>
      <w:pPr>
        <w:pStyle w:val="Normal"/>
        <w:spacing w:lineRule="auto" w:line="480"/>
        <w:rPr>
          <w:sz w:val="24"/>
          <w:szCs w:val="24"/>
        </w:rPr>
      </w:pPr>
      <w:r>
        <w:rPr>
          <w:sz w:val="24"/>
          <w:szCs w:val="24"/>
        </w:rPr>
      </w:r>
    </w:p>
    <w:p>
      <w:pPr>
        <w:pStyle w:val="Heading2"/>
        <w:rPr>
          <w:sz w:val="24"/>
          <w:szCs w:val="24"/>
        </w:rPr>
      </w:pPr>
      <w:bookmarkStart w:id="48" w:name="__RefHeading___Toc2766_4269637869"/>
      <w:bookmarkEnd w:id="48"/>
      <w:r>
        <w:rPr>
          <w:sz w:val="24"/>
          <w:szCs w:val="24"/>
        </w:rPr>
        <w:t>4.9  Summary of Key Findings</w:t>
      </w:r>
    </w:p>
    <w:p>
      <w:pPr>
        <w:pStyle w:val="Normal"/>
        <w:spacing w:lineRule="auto" w:line="480" w:before="0" w:after="200"/>
        <w:ind w:firstLine="720"/>
        <w:jc w:val="both"/>
        <w:rPr>
          <w:sz w:val="24"/>
          <w:szCs w:val="24"/>
        </w:rPr>
      </w:pPr>
      <w:r>
        <w:rPr>
          <w:sz w:val="24"/>
          <w:szCs w:val="24"/>
        </w:rPr>
        <w:t>The data analysis presented in this chapter establishes several significant findings regarding the sales performance, product demand patterns, retailer behaviour, and forecasting model capability of the distribution firm under study. These findings are summarized below and discussed in detail in Chapter 5.</w:t>
      </w:r>
    </w:p>
    <w:p>
      <w:pPr>
        <w:pStyle w:val="ListParagraph"/>
        <w:numPr>
          <w:ilvl w:val="0"/>
          <w:numId w:val="10"/>
        </w:numPr>
        <w:spacing w:lineRule="auto" w:line="480" w:before="0" w:after="120"/>
        <w:rPr>
          <w:sz w:val="24"/>
          <w:szCs w:val="24"/>
        </w:rPr>
      </w:pPr>
      <w:r>
        <w:rPr>
          <w:sz w:val="24"/>
          <w:szCs w:val="24"/>
        </w:rPr>
        <w:t>Total sales volume grew by 17.8% and total sales value grew by 28.3% from FY 2024-25 to FY 2025-26, with invoice frequency nearly doubling over the three-year study period.</w:t>
      </w:r>
    </w:p>
    <w:p>
      <w:pPr>
        <w:pStyle w:val="ListParagraph"/>
        <w:numPr>
          <w:ilvl w:val="0"/>
          <w:numId w:val="6"/>
        </w:numPr>
        <w:spacing w:lineRule="auto" w:line="480" w:before="0" w:after="120"/>
        <w:rPr>
          <w:sz w:val="24"/>
          <w:szCs w:val="24"/>
        </w:rPr>
      </w:pPr>
      <w:r>
        <w:rPr>
          <w:sz w:val="24"/>
          <w:szCs w:val="24"/>
        </w:rPr>
        <w:t>Style D143 and Style D239 together account for 44.4% of total sales volume, demonstrating a highly concentrated demand profile at the style level.</w:t>
      </w:r>
    </w:p>
    <w:p>
      <w:pPr>
        <w:pStyle w:val="ListParagraph"/>
        <w:numPr>
          <w:ilvl w:val="0"/>
          <w:numId w:val="6"/>
        </w:numPr>
        <w:spacing w:lineRule="auto" w:line="480" w:before="0" w:after="120"/>
        <w:rPr>
          <w:sz w:val="24"/>
          <w:szCs w:val="24"/>
        </w:rPr>
      </w:pPr>
      <w:r>
        <w:rPr>
          <w:sz w:val="24"/>
          <w:szCs w:val="24"/>
        </w:rPr>
        <w:t>The CORE product category accounts for 70.7% of sales volume but only 66.9% of sales value, while the FASHION category contributes a disproportionately high value share (17.1%) relative to its volume share (10.0%), indicating a premium product mix shift.</w:t>
      </w:r>
    </w:p>
    <w:p>
      <w:pPr>
        <w:pStyle w:val="ListParagraph"/>
        <w:numPr>
          <w:ilvl w:val="0"/>
          <w:numId w:val="6"/>
        </w:numPr>
        <w:spacing w:lineRule="auto" w:line="480" w:before="0" w:after="120"/>
        <w:rPr>
          <w:sz w:val="24"/>
          <w:szCs w:val="24"/>
        </w:rPr>
      </w:pPr>
      <w:r>
        <w:rPr>
          <w:sz w:val="24"/>
          <w:szCs w:val="24"/>
        </w:rPr>
        <w:t>Two retail accounts — RETAILER_026 and RETAILER_021 — together account for 54.6% of total sales volume, representing a significant customer concentration risk.</w:t>
      </w:r>
    </w:p>
    <w:p>
      <w:pPr>
        <w:pStyle w:val="ListParagraph"/>
        <w:numPr>
          <w:ilvl w:val="0"/>
          <w:numId w:val="6"/>
        </w:numPr>
        <w:spacing w:lineRule="auto" w:line="480" w:before="0" w:after="120"/>
        <w:rPr>
          <w:sz w:val="24"/>
          <w:szCs w:val="24"/>
        </w:rPr>
      </w:pPr>
      <w:r>
        <w:rPr>
          <w:sz w:val="24"/>
          <w:szCs w:val="24"/>
        </w:rPr>
        <w:t>December and March are consistently the peak sales months across all financial years, driven primarily by retailer incentive target achievement behaviour rather than genuine end-consumer demand.</w:t>
      </w:r>
    </w:p>
    <w:p>
      <w:pPr>
        <w:pStyle w:val="ListParagraph"/>
        <w:numPr>
          <w:ilvl w:val="0"/>
          <w:numId w:val="6"/>
        </w:numPr>
        <w:spacing w:lineRule="auto" w:line="480" w:before="0" w:after="120"/>
        <w:rPr>
          <w:sz w:val="24"/>
          <w:szCs w:val="24"/>
        </w:rPr>
      </w:pPr>
      <w:r>
        <w:rPr>
          <w:sz w:val="24"/>
          <w:szCs w:val="24"/>
        </w:rPr>
        <w:t>The January demand crash following the December peak is a structural consequence of incentive-driven bulk purchasing and represents a predictable, recurring demand suppression event.</w:t>
      </w:r>
    </w:p>
    <w:p>
      <w:pPr>
        <w:pStyle w:val="ListParagraph"/>
        <w:numPr>
          <w:ilvl w:val="0"/>
          <w:numId w:val="6"/>
        </w:numPr>
        <w:spacing w:lineRule="auto" w:line="480" w:before="0" w:after="120"/>
        <w:rPr>
          <w:sz w:val="24"/>
          <w:szCs w:val="24"/>
        </w:rPr>
      </w:pPr>
      <w:r>
        <w:rPr>
          <w:sz w:val="24"/>
          <w:szCs w:val="24"/>
        </w:rPr>
        <w:t>The overall sell-through rate of 84.9% indicates reasonable inventory balance, but the monthly analysis reveals four understock events where demand exceeded available supply, with the August 2025 shortfall of 439 units being the most severe.</w:t>
      </w:r>
    </w:p>
    <w:p>
      <w:pPr>
        <w:pStyle w:val="ListParagraph"/>
        <w:numPr>
          <w:ilvl w:val="0"/>
          <w:numId w:val="6"/>
        </w:numPr>
        <w:spacing w:lineRule="auto" w:line="480" w:before="0" w:after="120"/>
        <w:rPr>
          <w:sz w:val="24"/>
          <w:szCs w:val="24"/>
        </w:rPr>
      </w:pPr>
      <w:r>
        <w:rPr>
          <w:sz w:val="24"/>
          <w:szCs w:val="24"/>
        </w:rPr>
        <w:t>The Linear Regression forecasting model outperforms the Moving Average on all evaluation metrics at both SKU and style levels. The model performs well during normal demand periods but is unable to predict incentive-driven demand spikes without additional retailer target information.</w:t>
      </w:r>
    </w:p>
    <w:p>
      <w:pPr>
        <w:pStyle w:val="ListParagraph"/>
        <w:numPr>
          <w:ilvl w:val="0"/>
          <w:numId w:val="6"/>
        </w:numPr>
        <w:spacing w:lineRule="auto" w:line="480" w:before="0" w:after="120"/>
        <w:rPr>
          <w:sz w:val="24"/>
          <w:szCs w:val="24"/>
        </w:rPr>
      </w:pPr>
      <w:r>
        <w:rPr>
          <w:sz w:val="24"/>
          <w:szCs w:val="24"/>
        </w:rPr>
        <w:t>The three-month forecast for April to June 2026 projects demand of 200-235 units per month for style D143, consistent with the historical seasonal pattern of moderate demand in the opening quarter of the financial year.</w:t>
      </w:r>
    </w:p>
    <w:p>
      <w:pPr>
        <w:pStyle w:val="Heading1"/>
        <w:spacing w:lineRule="auto" w:line="480" w:before="480" w:after="240"/>
        <w:rPr>
          <w:sz w:val="24"/>
          <w:szCs w:val="24"/>
        </w:rPr>
      </w:pPr>
      <w:bookmarkStart w:id="49" w:name="__RefHeading___Toc2768_4269637869"/>
      <w:bookmarkEnd w:id="49"/>
      <w:r>
        <w:rPr>
          <w:rFonts w:eastAsia="Times New Roman" w:cs="Times New Roman"/>
          <w:b/>
          <w:bCs/>
          <w:sz w:val="24"/>
          <w:szCs w:val="24"/>
        </w:rPr>
        <w:t>CHAPTER 5: FINDINGS AND CONCLUSION</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50" w:name="__RefHeading___Toc2770_4269637869"/>
      <w:bookmarkEnd w:id="50"/>
      <w:r>
        <w:rPr>
          <w:rFonts w:eastAsia="Times New Roman" w:cs="Times New Roman"/>
          <w:b/>
          <w:bCs/>
          <w:sz w:val="24"/>
          <w:szCs w:val="24"/>
        </w:rPr>
        <w:t>5.1  Introduction</w:t>
      </w:r>
    </w:p>
    <w:p>
      <w:pPr>
        <w:pStyle w:val="Normal"/>
        <w:spacing w:lineRule="auto" w:line="480" w:before="0" w:after="200"/>
        <w:ind w:firstLine="720"/>
        <w:jc w:val="both"/>
        <w:rPr>
          <w:sz w:val="24"/>
          <w:szCs w:val="24"/>
        </w:rPr>
      </w:pPr>
      <w:r>
        <w:rPr>
          <w:rFonts w:eastAsia="Times New Roman" w:cs="Times New Roman"/>
          <w:sz w:val="24"/>
          <w:szCs w:val="24"/>
        </w:rPr>
        <w:t>This chapter consolidates the key findings emerging from the data analysis presented in Chapter 4 and draws conclusions regarding the three research objectives established in Chapter 3. The findings are organized thematically — covering business performance, product demand, retailer behaviour, operational system impact, and forecasting model outcomes — before a comprehensive conclusion synthesizes the study's contributions and implications.</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51" w:name="__RefHeading___Toc2772_4269637869"/>
      <w:bookmarkEnd w:id="51"/>
      <w:r>
        <w:rPr>
          <w:rFonts w:eastAsia="Times New Roman" w:cs="Times New Roman"/>
          <w:b/>
          <w:bCs/>
          <w:sz w:val="24"/>
          <w:szCs w:val="24"/>
        </w:rPr>
        <w:t>5.2  Key Findings</w:t>
      </w:r>
    </w:p>
    <w:p>
      <w:pPr>
        <w:pStyle w:val="Normal"/>
        <w:spacing w:lineRule="auto" w:line="480" w:before="0" w:after="120"/>
        <w:ind w:firstLine="720"/>
        <w:jc w:val="both"/>
        <w:rPr>
          <w:sz w:val="24"/>
          <w:szCs w:val="24"/>
        </w:rPr>
      </w:pPr>
      <w:r>
        <w:rPr>
          <w:rFonts w:eastAsia="Times New Roman" w:cs="Times New Roman"/>
          <w:b/>
          <w:bCs/>
          <w:sz w:val="24"/>
          <w:szCs w:val="24"/>
        </w:rPr>
        <w:t>Finding 1: Consistent and Accelerating Business Growth Over the Study Period</w:t>
      </w:r>
    </w:p>
    <w:p>
      <w:pPr>
        <w:pStyle w:val="Normal"/>
        <w:spacing w:lineRule="auto" w:line="480" w:before="0" w:after="200"/>
        <w:ind w:firstLine="720"/>
        <w:jc w:val="both"/>
        <w:rPr>
          <w:sz w:val="24"/>
          <w:szCs w:val="24"/>
        </w:rPr>
      </w:pPr>
      <w:r>
        <w:rPr>
          <w:rFonts w:eastAsia="Times New Roman" w:cs="Times New Roman"/>
          <w:sz w:val="24"/>
          <w:szCs w:val="24"/>
        </w:rPr>
        <w:t>The distribution firm demonstrated consistent year-on-year growth across all three financial years covered by the study. Total units sold grew from 7,041 in FY 2023-24 to 7,687 in FY 2024-25, and further to 9,057 in FY 2025-26 — a cumulative growth of 28.6% over two years. More significantly, sales value grew from Rs. 40.77 lakhs in FY 2023-24 to Rs. 54.39 lakhs in FY 2025-26 — a cumulative growth of 33.4%. The year-on-year value growth of 28.3% from FY 2024-25 to FY 2025-26 significantly outpaced quantity growth of 17.8%, indicating a positive shift in product mix toward higher-MRP items. The number of invoices raised nearly doubled over the same period — from 158 in FY 2023-24 to 342 in FY 2025-26 — reflecting substantially increased billing frequency attributable in part to the improved order management discipline enabled by the digital system developed in this project.</w:t>
      </w:r>
    </w:p>
    <w:p>
      <w:pPr>
        <w:pStyle w:val="Normal"/>
        <w:spacing w:lineRule="auto" w:line="480"/>
        <w:rPr>
          <w:sz w:val="24"/>
          <w:szCs w:val="24"/>
        </w:rPr>
      </w:pPr>
      <w:r>
        <w:rPr>
          <w:sz w:val="24"/>
          <w:szCs w:val="24"/>
        </w:rPr>
      </w:r>
    </w:p>
    <w:p>
      <w:pPr>
        <w:pStyle w:val="Normal"/>
        <w:spacing w:lineRule="auto" w:line="480" w:before="0" w:after="120"/>
        <w:ind w:firstLine="720"/>
        <w:jc w:val="both"/>
        <w:rPr>
          <w:sz w:val="24"/>
          <w:szCs w:val="24"/>
        </w:rPr>
      </w:pPr>
      <w:r>
        <w:rPr>
          <w:rFonts w:eastAsia="Times New Roman" w:cs="Times New Roman"/>
          <w:b/>
          <w:bCs/>
          <w:sz w:val="24"/>
          <w:szCs w:val="24"/>
        </w:rPr>
        <w:t>Finding 2: Extreme Demand Concentration at the Style and Retailer Level</w:t>
      </w:r>
    </w:p>
    <w:p>
      <w:pPr>
        <w:pStyle w:val="Normal"/>
        <w:spacing w:lineRule="auto" w:line="480" w:before="0" w:after="200"/>
        <w:ind w:firstLine="720"/>
        <w:jc w:val="both"/>
        <w:rPr>
          <w:sz w:val="24"/>
          <w:szCs w:val="24"/>
        </w:rPr>
      </w:pPr>
      <w:r>
        <w:rPr>
          <w:rFonts w:eastAsia="Times New Roman" w:cs="Times New Roman"/>
          <w:sz w:val="24"/>
          <w:szCs w:val="24"/>
        </w:rPr>
        <w:t>A Pareto concentration pattern was observed at both the product and retailer levels, with a small number of styles and accounts driving the majority of business volume. At the style level, the top two style codes — D143 and D239 — collectively accounted for 44.4% of total sales volume across the study period, while the top 10 style codes accounted for 72.0% of volume despite the active portfolio comprising 133 unique style codes. At the retailer level, the two largest accounts — RETAILER_026 and RETAILER_021 — together contributed 54.6% of total sales volume, with RETAILER_026 alone responsible for 38.1% of all units sold. The top 15 retail accounts accounted for 88.4% of total volume.</w:t>
      </w:r>
    </w:p>
    <w:p>
      <w:pPr>
        <w:pStyle w:val="Normal"/>
        <w:spacing w:lineRule="auto" w:line="480" w:before="0" w:after="200"/>
        <w:ind w:firstLine="720"/>
        <w:jc w:val="both"/>
        <w:rPr>
          <w:sz w:val="24"/>
          <w:szCs w:val="24"/>
        </w:rPr>
      </w:pPr>
      <w:r>
        <w:rPr>
          <w:rFonts w:eastAsia="Times New Roman" w:cs="Times New Roman"/>
          <w:sz w:val="24"/>
          <w:szCs w:val="24"/>
        </w:rPr>
        <w:t>This degree of concentration has dual implications. On one hand, it simplifies the priority for inventory management: ensuring consistent stock availability for styles D143 and D239 and maintaining service quality for RETAILER_026 and RETAILER_021 would protect the vast majority of business volume. On the other hand, the concentration represents a significant business risk — any disruption in the ordering patterns of the top two retailers, or availability issues with the top two style codes, would have an immediate and material adverse impact on the distributor's performance.</w:t>
      </w:r>
    </w:p>
    <w:p>
      <w:pPr>
        <w:pStyle w:val="Normal"/>
        <w:spacing w:lineRule="auto" w:line="480"/>
        <w:rPr>
          <w:sz w:val="24"/>
          <w:szCs w:val="24"/>
        </w:rPr>
      </w:pPr>
      <w:r>
        <w:rPr>
          <w:sz w:val="24"/>
          <w:szCs w:val="24"/>
        </w:rPr>
      </w:r>
    </w:p>
    <w:p>
      <w:pPr>
        <w:pStyle w:val="Normal"/>
        <w:spacing w:lineRule="auto" w:line="480" w:before="0" w:after="120"/>
        <w:ind w:firstLine="720"/>
        <w:jc w:val="both"/>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lineRule="auto" w:line="480" w:before="0" w:after="120"/>
        <w:ind w:firstLine="720"/>
        <w:jc w:val="both"/>
        <w:rPr>
          <w:rFonts w:ascii="Times New Roman" w:hAnsi="Times New Roman" w:eastAsia="Times New Roman" w:cs="Times New Roman"/>
          <w:b/>
          <w:bCs/>
          <w:sz w:val="24"/>
          <w:szCs w:val="24"/>
        </w:rPr>
      </w:pPr>
      <w:r>
        <w:rPr>
          <w:rFonts w:eastAsia="Times New Roman" w:cs="Times New Roman"/>
          <w:b/>
          <w:bCs/>
          <w:sz w:val="24"/>
          <w:szCs w:val="24"/>
        </w:rPr>
        <w:t>Finding 3: Two Distinct Demand Drivers — Seasonal Demand and Incentive-Driven Purchasing</w:t>
      </w:r>
    </w:p>
    <w:p>
      <w:pPr>
        <w:pStyle w:val="Normal"/>
        <w:spacing w:lineRule="auto" w:line="480" w:before="0" w:after="200"/>
        <w:ind w:firstLine="720"/>
        <w:jc w:val="both"/>
        <w:rPr>
          <w:sz w:val="24"/>
          <w:szCs w:val="24"/>
        </w:rPr>
      </w:pPr>
      <w:r>
        <w:rPr>
          <w:rFonts w:eastAsia="Times New Roman" w:cs="Times New Roman"/>
          <w:sz w:val="24"/>
          <w:szCs w:val="24"/>
        </w:rPr>
        <w:t>The most analytically significant finding of this study is the identification of two structurally different demand drivers operating simultaneously within the distribution network. December and March are consistently the highest-volume months across all three financial years studied — December cumulating 4,264 units and March 3,332 units across the study period. However, these peaks are not primarily a reflection of end-consumer seasonal demand. Rather, they are driven by structured retailer purchase target incentive schemes operated by the parent company.</w:t>
      </w:r>
    </w:p>
    <w:p>
      <w:pPr>
        <w:pStyle w:val="Normal"/>
        <w:spacing w:lineRule="auto" w:line="480" w:before="0" w:after="200"/>
        <w:ind w:firstLine="720"/>
        <w:jc w:val="both"/>
        <w:rPr>
          <w:sz w:val="24"/>
          <w:szCs w:val="24"/>
        </w:rPr>
      </w:pPr>
      <w:r>
        <w:rPr>
          <w:rFonts w:eastAsia="Times New Roman" w:cs="Times New Roman"/>
          <w:sz w:val="24"/>
          <w:szCs w:val="24"/>
        </w:rPr>
        <w:t>The two largest retail accounts operate under annual purchase target agreements with quarterly sub-targets and carry-forward provisions. Retailers who fall behind on quarterly targets accelerate purchases in December (the Q3 closing month) and March (the financial year-end) to meet accumulated targets. This creates the consistently observed December and March spikes. The January demand crash that invariably follows — evidenced by actual sales of only 21 units for the top style in January 2026 — is a structural consequence of this pattern: retailers who over-purchased in December suppress orders in January while excess stock is absorbed.</w:t>
      </w:r>
    </w:p>
    <w:p>
      <w:pPr>
        <w:pStyle w:val="Normal"/>
        <w:spacing w:lineRule="auto" w:line="480" w:before="0" w:after="200"/>
        <w:ind w:firstLine="720"/>
        <w:jc w:val="both"/>
        <w:rPr>
          <w:sz w:val="24"/>
          <w:szCs w:val="24"/>
        </w:rPr>
      </w:pPr>
      <w:r>
        <w:rPr>
          <w:rFonts w:eastAsia="Times New Roman" w:cs="Times New Roman"/>
          <w:sz w:val="24"/>
          <w:szCs w:val="24"/>
        </w:rPr>
        <w:t>The May and July peaks, by contrast, are not aligned with quarter-end months and represent genuine seasonal demand — driven by summer fashion cycles, new season arrivals, and genuine consumer purchasing. This distinction between incentive-driven and season-driven demand is a key contribution of this study and has direct implications for inventory planning: the December and March peaks must be anticipated not on the basis of consumer demand signals but on knowledge of the retailer's current target position relative to annual commitments.</w:t>
      </w:r>
    </w:p>
    <w:p>
      <w:pPr>
        <w:pStyle w:val="Normal"/>
        <w:spacing w:lineRule="auto" w:line="480"/>
        <w:rPr>
          <w:sz w:val="24"/>
          <w:szCs w:val="24"/>
        </w:rPr>
      </w:pPr>
      <w:r>
        <w:rPr>
          <w:sz w:val="24"/>
          <w:szCs w:val="24"/>
        </w:rPr>
      </w:r>
    </w:p>
    <w:p>
      <w:pPr>
        <w:pStyle w:val="Normal"/>
        <w:spacing w:lineRule="auto" w:line="480" w:before="0" w:after="120"/>
        <w:ind w:firstLine="720"/>
        <w:jc w:val="both"/>
        <w:rPr>
          <w:sz w:val="24"/>
          <w:szCs w:val="24"/>
        </w:rPr>
      </w:pPr>
      <w:r>
        <w:rPr>
          <w:rFonts w:eastAsia="Times New Roman" w:cs="Times New Roman"/>
          <w:b/>
          <w:bCs/>
          <w:sz w:val="24"/>
          <w:szCs w:val="24"/>
        </w:rPr>
        <w:t>Finding 4: CORE Category Dominates Volume but FASHION Delivers Superior Value per Unit</w:t>
      </w:r>
    </w:p>
    <w:p>
      <w:pPr>
        <w:pStyle w:val="Normal"/>
        <w:spacing w:lineRule="auto" w:line="480" w:before="0" w:after="200"/>
        <w:ind w:firstLine="720"/>
        <w:jc w:val="both"/>
        <w:rPr>
          <w:sz w:val="24"/>
          <w:szCs w:val="24"/>
        </w:rPr>
      </w:pPr>
      <w:r>
        <w:rPr>
          <w:rFonts w:eastAsia="Times New Roman" w:cs="Times New Roman"/>
          <w:sz w:val="24"/>
          <w:szCs w:val="24"/>
        </w:rPr>
        <w:t>Analysis of sales by product category revealed that the CORE range accounts for 70.7% of sales volume and 66.9% of sales value. The FASHION category, however, contributes a disproportionately high value share of 17.1% against a volume share of only 10.0%. This indicates that FASHION category products carry MRPs approximately 70% higher than CORE products on a per-unit basis, making them a high-value segment despite their modest volume contribution. The NCP-P010 packaged product category contributes 8.1% of volume driven by periodic bulk purchases. The SS26 seasonal collection, launched during the study period, already contributes 2.5% of volume despite having only partial-year coverage — suggesting strong early adoption of the new season range.</w:t>
      </w:r>
    </w:p>
    <w:p>
      <w:pPr>
        <w:pStyle w:val="Normal"/>
        <w:spacing w:lineRule="auto" w:line="480"/>
        <w:rPr>
          <w:sz w:val="24"/>
          <w:szCs w:val="24"/>
        </w:rPr>
      </w:pPr>
      <w:r>
        <w:rPr>
          <w:sz w:val="24"/>
          <w:szCs w:val="24"/>
        </w:rPr>
      </w:r>
    </w:p>
    <w:p>
      <w:pPr>
        <w:pStyle w:val="Normal"/>
        <w:spacing w:lineRule="auto" w:line="480" w:before="0" w:after="120"/>
        <w:ind w:firstLine="720"/>
        <w:jc w:val="both"/>
        <w:rPr>
          <w:sz w:val="24"/>
          <w:szCs w:val="24"/>
        </w:rPr>
      </w:pPr>
      <w:r>
        <w:rPr>
          <w:rFonts w:eastAsia="Times New Roman" w:cs="Times New Roman"/>
          <w:b/>
          <w:bCs/>
          <w:sz w:val="24"/>
          <w:szCs w:val="24"/>
        </w:rPr>
        <w:t>Finding 5: The Digital Order Management System Demonstrably Improved Operational Efficiency</w:t>
      </w:r>
    </w:p>
    <w:p>
      <w:pPr>
        <w:pStyle w:val="Normal"/>
        <w:spacing w:lineRule="auto" w:line="480" w:before="0" w:after="200"/>
        <w:ind w:firstLine="720"/>
        <w:jc w:val="both"/>
        <w:rPr>
          <w:sz w:val="24"/>
          <w:szCs w:val="24"/>
        </w:rPr>
      </w:pPr>
      <w:r>
        <w:rPr>
          <w:rFonts w:eastAsia="Times New Roman" w:cs="Times New Roman"/>
          <w:sz w:val="24"/>
          <w:szCs w:val="24"/>
        </w:rPr>
        <w:t>The introduction of Version 2 of the distribution management system — featuring real-time stock visibility, role-based order entry, and automated one-click purchase order placement — produced measurable improvements in order management efficiency. The near-doubling of invoice count (158 to 342) between FY 2023-24 and FY 2025-26 reflects both business growth and improved billing discipline. The elimination of manual diary-based order recording and WhatsApp relay reduced transcription errors and order consolidation time. The automated stock visibility feature, powered by the web scraping module that generated 132 usable daily stock snapshots, provided sales executives with current inventory data at the point of order collection — a capability entirely absent prior to the system's development.</w:t>
      </w:r>
    </w:p>
    <w:p>
      <w:pPr>
        <w:pStyle w:val="Normal"/>
        <w:spacing w:lineRule="auto" w:line="480" w:before="0" w:after="200"/>
        <w:ind w:firstLine="720"/>
        <w:jc w:val="both"/>
        <w:rPr>
          <w:sz w:val="24"/>
          <w:szCs w:val="24"/>
        </w:rPr>
      </w:pPr>
      <w:r>
        <w:rPr>
          <w:rFonts w:eastAsia="Times New Roman" w:cs="Times New Roman"/>
          <w:sz w:val="24"/>
          <w:szCs w:val="24"/>
        </w:rPr>
        <w:t>Additionally, the system's structured data storage has created, for the first time in the firm's history, a queryable record of order transactions. The 2,558 app order line items recorded from November 2025 onwards represent the beginning of a structured data asset that will continue to grow in analytical value with continued system use. This data foundation is the enabler for the demand forecasting model developed in this study and for all future analytical work.</w:t>
      </w:r>
    </w:p>
    <w:p>
      <w:pPr>
        <w:pStyle w:val="Normal"/>
        <w:spacing w:lineRule="auto" w:line="480"/>
        <w:rPr>
          <w:sz w:val="24"/>
          <w:szCs w:val="24"/>
        </w:rPr>
      </w:pPr>
      <w:r>
        <w:rPr>
          <w:sz w:val="24"/>
          <w:szCs w:val="24"/>
        </w:rPr>
      </w:r>
    </w:p>
    <w:p>
      <w:pPr>
        <w:pStyle w:val="Normal"/>
        <w:spacing w:lineRule="auto" w:line="480" w:before="0" w:after="120"/>
        <w:ind w:firstLine="720"/>
        <w:jc w:val="both"/>
        <w:rPr>
          <w:sz w:val="24"/>
          <w:szCs w:val="24"/>
        </w:rPr>
      </w:pPr>
      <w:r>
        <w:rPr>
          <w:rFonts w:eastAsia="Times New Roman" w:cs="Times New Roman"/>
          <w:b/>
          <w:bCs/>
          <w:sz w:val="24"/>
          <w:szCs w:val="24"/>
        </w:rPr>
        <w:t>Finding 6: Overall Sell-Through Rate is Healthy but Monthly Mismatches Create Stockout Risk</w:t>
      </w:r>
    </w:p>
    <w:p>
      <w:pPr>
        <w:pStyle w:val="Normal"/>
        <w:spacing w:lineRule="auto" w:line="480" w:before="0" w:after="200"/>
        <w:ind w:firstLine="720"/>
        <w:jc w:val="both"/>
        <w:rPr>
          <w:sz w:val="24"/>
          <w:szCs w:val="24"/>
        </w:rPr>
      </w:pPr>
      <w:r>
        <w:rPr>
          <w:rFonts w:eastAsia="Times New Roman" w:cs="Times New Roman"/>
          <w:sz w:val="24"/>
          <w:szCs w:val="24"/>
        </w:rPr>
        <w:t>The overall sell-through rate — units sold as a proportion of units purchased over the study period — was 84.9%, indicating a broadly balanced inventory position. However, the month-by-month analysis reveals significant mismatches between procurement and sales that aggregate into this balanced overall figure. Of the 29 months analyzed, 14 were broadly balanced (purchase and sales within 100 units of each other), 11 experienced overstock conditions (purchase exceeding sales by more than 100 units), and 4 experienced understock conditions (sales exceeding purchase by more than 100 units).</w:t>
      </w:r>
    </w:p>
    <w:p>
      <w:pPr>
        <w:pStyle w:val="Normal"/>
        <w:spacing w:lineRule="auto" w:line="480" w:before="0" w:after="200"/>
        <w:ind w:firstLine="720"/>
        <w:jc w:val="both"/>
        <w:rPr>
          <w:sz w:val="24"/>
          <w:szCs w:val="24"/>
        </w:rPr>
      </w:pPr>
      <w:r>
        <w:rPr>
          <w:rFonts w:eastAsia="Times New Roman" w:cs="Times New Roman"/>
          <w:sz w:val="24"/>
          <w:szCs w:val="24"/>
        </w:rPr>
        <w:t>The most severe understock event occurred in August 2025, when sales exceeded purchases by 439 units — equivalent to approximately 2.3 months of average demand. Stock snapshot data confirms that the top style (D143) recorded near-zero warehouse stock during this period, confirming that at least a portion of potential August sales were lost due to stockout. The August 2025 stockout was a downstream consequence of the July 2025 sales spike (the period's single highest month at 1,595 units), which depleted stock faster than the procurement cycle could replenish it. This finding directly validates the business case for the demand forecasting system developed in this project.</w:t>
      </w:r>
    </w:p>
    <w:p>
      <w:pPr>
        <w:pStyle w:val="Normal"/>
        <w:spacing w:lineRule="auto" w:line="480"/>
        <w:rPr>
          <w:sz w:val="24"/>
          <w:szCs w:val="24"/>
        </w:rPr>
      </w:pPr>
      <w:r>
        <w:rPr>
          <w:sz w:val="24"/>
          <w:szCs w:val="24"/>
        </w:rPr>
      </w:r>
    </w:p>
    <w:p>
      <w:pPr>
        <w:pStyle w:val="Normal"/>
        <w:spacing w:lineRule="auto" w:line="480" w:before="0" w:after="120"/>
        <w:ind w:firstLine="720"/>
        <w:jc w:val="both"/>
        <w:rPr>
          <w:sz w:val="24"/>
          <w:szCs w:val="24"/>
        </w:rPr>
      </w:pPr>
      <w:r>
        <w:rPr>
          <w:rFonts w:eastAsia="Times New Roman" w:cs="Times New Roman"/>
          <w:b/>
          <w:bCs/>
          <w:sz w:val="24"/>
          <w:szCs w:val="24"/>
        </w:rPr>
        <w:t>Finding 7: Mid-Range Cup Sizes and Standard Sizes M and L Drive the Majority of Demand</w:t>
      </w:r>
    </w:p>
    <w:p>
      <w:pPr>
        <w:pStyle w:val="Normal"/>
        <w:spacing w:lineRule="auto" w:line="480" w:before="0" w:after="200"/>
        <w:ind w:firstLine="720"/>
        <w:jc w:val="both"/>
        <w:rPr>
          <w:sz w:val="24"/>
          <w:szCs w:val="24"/>
        </w:rPr>
      </w:pPr>
      <w:r>
        <w:rPr>
          <w:rFonts w:eastAsia="Times New Roman" w:cs="Times New Roman"/>
          <w:sz w:val="24"/>
          <w:szCs w:val="24"/>
        </w:rPr>
        <w:t>Size-level analysis reveals that cup sizes (32B to 42D and above) account for 65.8% of total sales volume, confirming the predominantly structured innerwear character of the distribution business. Within the cup size range, the 36C, 36B, 34B, and 38C variants represent the highest-demand combinations, collectively accounting for a significant share of innerwear volume. Within standard sizes, M and L are the dominant sizes. This size profile provides a clear guide for inventory prioritization: maintaining consistent stock availability in the 34B-38C cup size range and M-L standard sizes would protect the majority of demand-fill opportunities.</w:t>
      </w:r>
    </w:p>
    <w:p>
      <w:pPr>
        <w:pStyle w:val="Normal"/>
        <w:spacing w:lineRule="auto" w:line="480"/>
        <w:rPr>
          <w:sz w:val="24"/>
          <w:szCs w:val="24"/>
        </w:rPr>
      </w:pPr>
      <w:r>
        <w:rPr>
          <w:sz w:val="24"/>
          <w:szCs w:val="24"/>
        </w:rPr>
      </w:r>
    </w:p>
    <w:p>
      <w:pPr>
        <w:pStyle w:val="Normal"/>
        <w:spacing w:lineRule="auto" w:line="480" w:before="0" w:after="120"/>
        <w:ind w:firstLine="720"/>
        <w:jc w:val="both"/>
        <w:rPr>
          <w:sz w:val="24"/>
          <w:szCs w:val="24"/>
        </w:rPr>
      </w:pPr>
      <w:r>
        <w:rPr>
          <w:rFonts w:eastAsia="Times New Roman" w:cs="Times New Roman"/>
          <w:b/>
          <w:bCs/>
          <w:sz w:val="24"/>
          <w:szCs w:val="24"/>
        </w:rPr>
        <w:t>Finding 8: The Linear Regression Forecasting Model Outperforms Moving Average</w:t>
      </w:r>
    </w:p>
    <w:p>
      <w:pPr>
        <w:pStyle w:val="Normal"/>
        <w:spacing w:lineRule="auto" w:line="480" w:before="0" w:after="200"/>
        <w:ind w:firstLine="720"/>
        <w:jc w:val="both"/>
        <w:rPr>
          <w:sz w:val="24"/>
          <w:szCs w:val="24"/>
        </w:rPr>
      </w:pPr>
      <w:r>
        <w:rPr>
          <w:rFonts w:eastAsia="Times New Roman" w:cs="Times New Roman"/>
          <w:sz w:val="24"/>
          <w:szCs w:val="24"/>
        </w:rPr>
        <w:t>At both the SKU level and the style level, the Linear Regression model incorporating seasonal features (sine and cosine transformations of month-of-year) produced lower Mean Absolute Error (MAE) and Root Mean Squared Error (RMSE) values than the three-month Moving Average model. At the SKU level, the Linear Regression MAE of 2.75 units per month represents fewer than 3 units of error on a product that sells between 1 and 9 units per month — a practically meaningful level of accuracy for purchase planning purposes. At the style level, the Linear Regression correctly directional forecast for February and March 2026 (actual 209, predicted 193; actual 294, predicted 210) demonstrates the model's capability during normal, non-incentive-driven demand periods.</w:t>
      </w:r>
    </w:p>
    <w:p>
      <w:pPr>
        <w:pStyle w:val="Normal"/>
        <w:spacing w:lineRule="auto" w:line="480" w:before="0" w:after="200"/>
        <w:ind w:firstLine="720"/>
        <w:jc w:val="both"/>
        <w:rPr>
          <w:sz w:val="24"/>
          <w:szCs w:val="24"/>
        </w:rPr>
      </w:pPr>
      <w:r>
        <w:rPr>
          <w:rFonts w:eastAsia="Times New Roman" w:cs="Times New Roman"/>
          <w:sz w:val="24"/>
          <w:szCs w:val="24"/>
        </w:rPr>
        <w:t>The high MAPE values observed at both levels — 125% at SKU level and 212.7% at style level — are attributable to the incentive-driven demand spikes described in Finding 3, which create extreme outlier months that disproportionately inflate percentage error metrics. These high MAPE values should not be interpreted as model failure; rather, they reflect the structural unpredictability of incentive-driven bulk purchasing using time series methods alone.</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52" w:name="__RefHeading___Toc2774_4269637869"/>
      <w:bookmarkEnd w:id="52"/>
      <w:r>
        <w:rPr>
          <w:rFonts w:eastAsia="Times New Roman" w:cs="Times New Roman"/>
          <w:b/>
          <w:bCs/>
          <w:sz w:val="24"/>
          <w:szCs w:val="24"/>
        </w:rPr>
        <w:t>5.3  Conclusion</w:t>
      </w:r>
    </w:p>
    <w:p>
      <w:pPr>
        <w:pStyle w:val="Normal"/>
        <w:spacing w:lineRule="auto" w:line="480" w:before="0" w:after="200"/>
        <w:ind w:firstLine="720"/>
        <w:jc w:val="both"/>
        <w:rPr>
          <w:sz w:val="24"/>
          <w:szCs w:val="24"/>
        </w:rPr>
      </w:pPr>
      <w:r>
        <w:rPr>
          <w:rFonts w:eastAsia="Times New Roman" w:cs="Times New Roman"/>
          <w:sz w:val="24"/>
          <w:szCs w:val="24"/>
        </w:rPr>
        <w:t>This study set out to address three research objectives: the development and evaluation of a digital order management system for a regional FMCG distributor, the exploratory analysis of SKU-level demand patterns using multi-source operational data, and the development and validation of a Python-based demand forecasting model. Each objective has been substantially achieved.</w:t>
      </w:r>
    </w:p>
    <w:p>
      <w:pPr>
        <w:pStyle w:val="Normal"/>
        <w:spacing w:lineRule="auto" w:line="480" w:before="0" w:after="200"/>
        <w:ind w:firstLine="720"/>
        <w:jc w:val="both"/>
        <w:rPr>
          <w:sz w:val="24"/>
          <w:szCs w:val="24"/>
        </w:rPr>
      </w:pPr>
      <w:r>
        <w:rPr>
          <w:rFonts w:eastAsia="Times New Roman" w:cs="Times New Roman"/>
          <w:sz w:val="24"/>
          <w:szCs w:val="24"/>
        </w:rPr>
        <w:t>With respect to the first objective, the distribution management system developed in this project — spanning two versions over approximately two years — has successfully eliminated the manual diary-and-WhatsApp order collection process, introduced real-time stock visibility through automated web scraping, and automated the purchase order placement workflow through template-matched one-click email dispatch. The system is operational, actively used, and has generated a structured data asset that enables all further analytical work in this study.</w:t>
      </w:r>
    </w:p>
    <w:p>
      <w:pPr>
        <w:pStyle w:val="Normal"/>
        <w:spacing w:lineRule="auto" w:line="480" w:before="0" w:after="200"/>
        <w:ind w:firstLine="720"/>
        <w:jc w:val="both"/>
        <w:rPr>
          <w:sz w:val="24"/>
          <w:szCs w:val="24"/>
        </w:rPr>
      </w:pPr>
      <w:r>
        <w:rPr>
          <w:rFonts w:eastAsia="Times New Roman" w:cs="Times New Roman"/>
          <w:sz w:val="24"/>
          <w:szCs w:val="24"/>
        </w:rPr>
        <w:t>With respect to the second objective, the exploratory data analysis reveals a distribution business characterized by strong and growing sales performance, highly concentrated demand at both the style and retailer levels, and a dual demand structure in which incentive-driven bulk purchasing by key retail accounts creates recurring seasonal patterns that overlay genuine consumer demand cycles. The identification and characterization of the incentive-driven demand pattern represents the most original analytical contribution of this study, as it requires integration of quantitative data analysis with direct operational knowledge of the business context — an integration that is only possible through the kind of embedded, action-research approach adopted in this project.</w:t>
      </w:r>
    </w:p>
    <w:p>
      <w:pPr>
        <w:pStyle w:val="Normal"/>
        <w:spacing w:lineRule="auto" w:line="480" w:before="0" w:after="200"/>
        <w:ind w:firstLine="720"/>
        <w:jc w:val="both"/>
        <w:rPr>
          <w:sz w:val="24"/>
          <w:szCs w:val="24"/>
        </w:rPr>
      </w:pPr>
      <w:r>
        <w:rPr>
          <w:rFonts w:eastAsia="Times New Roman" w:cs="Times New Roman"/>
          <w:sz w:val="24"/>
          <w:szCs w:val="24"/>
        </w:rPr>
        <w:t>With respect to the third objective, the demand forecasting model demonstrates that Python-based Linear Regression with seasonal features is capable of generating directionally useful monthly demand estimates for high-velocity style codes. The model's three-month forward forecast for style D143 — projecting 200-235 units per month for April to June 2026 — provides the distributor with a quantitative basis for purchase planning that was entirely absent prior to this project. The model's limitations during incentive-driven peak periods are clearly documented and provide a roadmap for future model enhancement through the incorporation of retailer target data.</w:t>
      </w:r>
    </w:p>
    <w:p>
      <w:pPr>
        <w:pStyle w:val="Normal"/>
        <w:spacing w:lineRule="auto" w:line="480" w:before="0" w:after="200"/>
        <w:ind w:firstLine="720"/>
        <w:jc w:val="both"/>
        <w:rPr>
          <w:sz w:val="24"/>
          <w:szCs w:val="24"/>
        </w:rPr>
      </w:pPr>
      <w:r>
        <w:rPr>
          <w:rFonts w:eastAsia="Times New Roman" w:cs="Times New Roman"/>
          <w:sz w:val="24"/>
          <w:szCs w:val="24"/>
        </w:rPr>
        <w:t>In conclusion, this project demonstrates that a lightweight, custom-built digital order management system combined with Python-based data analytics and demand forecasting can meaningfully transform the operational intelligence of a small regional FMCG distributor — without the cost, complexity, or implementation burden of enterprise software. The system and analytical framework developed in this study are not only functionally operational but also scalable: as the structured data asset grows with continued system use, the forecasting model's accuracy will improve, and additional analytical capabilities — including retailer-level demand forecasting and automated reorder alerts — can be progressively added. The distributor has transitioned, through this project, from a purely experience-driven operating model to one with a functioning data infrastructure and the analytical tools to use it.</w:t>
      </w:r>
    </w:p>
    <w:p>
      <w:pPr>
        <w:pStyle w:val="Heading1"/>
        <w:spacing w:lineRule="auto" w:line="480" w:before="480" w:after="240"/>
        <w:rPr>
          <w:rFonts w:ascii="Times New Roman" w:hAnsi="Times New Roman" w:eastAsia="Times New Roman" w:cs="Times New Roman"/>
          <w:b/>
          <w:bCs/>
          <w:sz w:val="24"/>
          <w:szCs w:val="24"/>
        </w:rPr>
      </w:pPr>
      <w:r>
        <w:rPr>
          <w:rFonts w:eastAsia="Times New Roman" w:cs="Times New Roman"/>
          <w:b/>
          <w:bCs/>
          <w:sz w:val="24"/>
          <w:szCs w:val="24"/>
        </w:rPr>
      </w:r>
      <w:r>
        <w:br w:type="page"/>
      </w:r>
    </w:p>
    <w:p>
      <w:pPr>
        <w:pStyle w:val="Heading1"/>
        <w:spacing w:lineRule="auto" w:line="480" w:before="0" w:after="240"/>
        <w:rPr>
          <w:rFonts w:ascii="Times New Roman" w:hAnsi="Times New Roman" w:eastAsia="Times New Roman" w:cs="Times New Roman"/>
          <w:b/>
          <w:bCs/>
          <w:sz w:val="24"/>
          <w:szCs w:val="24"/>
        </w:rPr>
      </w:pPr>
      <w:bookmarkStart w:id="53" w:name="__RefHeading___Toc2776_4269637869"/>
      <w:bookmarkEnd w:id="53"/>
      <w:r>
        <w:rPr>
          <w:rFonts w:eastAsia="Times New Roman" w:cs="Times New Roman"/>
          <w:b/>
          <w:bCs/>
          <w:sz w:val="24"/>
          <w:szCs w:val="24"/>
        </w:rPr>
        <w:t>CHAPTER 6: RECOMMENDATIONS AND LIMITATIONS OF THE STUDY</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54" w:name="__RefHeading___Toc2778_4269637869"/>
      <w:bookmarkEnd w:id="54"/>
      <w:r>
        <w:rPr>
          <w:rFonts w:eastAsia="Times New Roman" w:cs="Times New Roman"/>
          <w:b/>
          <w:bCs/>
          <w:sz w:val="24"/>
          <w:szCs w:val="24"/>
        </w:rPr>
        <w:t>6.1  Recommendations</w:t>
      </w:r>
    </w:p>
    <w:p>
      <w:pPr>
        <w:pStyle w:val="Normal"/>
        <w:spacing w:lineRule="auto" w:line="480" w:before="0" w:after="200"/>
        <w:ind w:firstLine="720"/>
        <w:jc w:val="both"/>
        <w:rPr>
          <w:sz w:val="24"/>
          <w:szCs w:val="24"/>
        </w:rPr>
      </w:pPr>
      <w:r>
        <w:rPr>
          <w:rFonts w:eastAsia="Times New Roman" w:cs="Times New Roman"/>
          <w:sz w:val="24"/>
          <w:szCs w:val="24"/>
        </w:rPr>
        <w:t>Based on the findings of this study, the following recommendations are made for the distribution firm and, more broadly, for regional FMCG distributors operating in similar contexts. These recommendations are grounded in the data analysis presented in Chapter 4 and the conclusions drawn in Chapter 5.</w:t>
      </w:r>
    </w:p>
    <w:p>
      <w:pPr>
        <w:pStyle w:val="Normal"/>
        <w:spacing w:lineRule="auto" w:line="480"/>
        <w:rPr>
          <w:sz w:val="24"/>
          <w:szCs w:val="24"/>
        </w:rPr>
      </w:pPr>
      <w:r>
        <w:rPr>
          <w:sz w:val="24"/>
          <w:szCs w:val="24"/>
        </w:rPr>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1. </w:t>
      </w:r>
      <w:r>
        <w:rPr>
          <w:rFonts w:eastAsia="Times New Roman" w:cs="Times New Roman"/>
          <w:sz w:val="24"/>
          <w:szCs w:val="24"/>
        </w:rPr>
        <w:t>Maintain Priority Stock Buffers for Top Two Style Codes. Styles D143 and D239 together account for 44.4% of total sales volume. The distributor should establish a minimum safety stock level for these styles — calculated as at least one month of average demand — to protect against the stockout risk demonstrated during the August 2025 event. A dedicated reorder point for these styles, triggered when warehouse stock falls below two weeks of forecasted demand, would prevent a recurrence of the 439-unit understock event documented in this study.</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2. </w:t>
      </w:r>
      <w:r>
        <w:rPr>
          <w:rFonts w:eastAsia="Times New Roman" w:cs="Times New Roman"/>
          <w:sz w:val="24"/>
          <w:szCs w:val="24"/>
        </w:rPr>
        <w:t>Incorporate Retailer Target Status into Purchase Planning. The December and March demand spikes are driven by retailer incentive target achievement behaviour, not by consumer demand. The distributor should proactively track the quarterly target achievement status of RETAILER_026 and RETAILER_021 — the two accounts responsible for 54.6% of sales — and increase purchase orders from the parent company in October and January respectively, in anticipation of the quarter-end bulk purchase that will follow. This proactive procurement approach would significantly reduce the January and April stock depletion events observed in this study.</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3. </w:t>
      </w:r>
      <w:r>
        <w:rPr>
          <w:rFonts w:eastAsia="Times New Roman" w:cs="Times New Roman"/>
          <w:sz w:val="24"/>
          <w:szCs w:val="24"/>
        </w:rPr>
        <w:t>Diversify the Retailer Base to Reduce Concentration Risk. RETAILER_026 alone accounts for 38.1% of total sales volume. This degree of customer concentration represents a significant business risk. A deliberate strategy to activate dormant retail accounts from the 61 currently inactive outlets in the outlet master, or to onboard new retail accounts in underserved beats, would reduce dependence on a single account and create a more resilient revenue base.</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4. </w:t>
      </w:r>
      <w:r>
        <w:rPr>
          <w:rFonts w:eastAsia="Times New Roman" w:cs="Times New Roman"/>
          <w:sz w:val="24"/>
          <w:szCs w:val="24"/>
        </w:rPr>
        <w:t>Integrate the Demand Forecasting Model into the Distribution Management System. The Python-based forecasting model developed in this study generates monthly demand predictions for top style codes. This model should be integrated directly into the Version 2 distribution management system as an automated purchase recommendation module. At the beginning of each month, the system should display the forecasted demand for the top 20 style codes alongside current warehouse stock, automatically flagging styles where projected monthly demand exceeds current stock by a defined threshold.</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5. </w:t>
      </w:r>
      <w:r>
        <w:rPr>
          <w:rFonts w:eastAsia="Times New Roman" w:cs="Times New Roman"/>
          <w:sz w:val="24"/>
          <w:szCs w:val="24"/>
        </w:rPr>
        <w:t>Expand App Adoption to All Active Retail Accounts. As of the study period, the app-recorded order data covered 32 retail accounts while the sales billing data shows 46 active billing accounts. The 14 accounts not placing orders through the app represent a gap in the digital order capture that limits the quality of demand signal data available for analysis. Ensuring all active retailers place orders exclusively through the app would improve data completeness and accelerate the accumulation of the structured data history needed for more accurate forecasting.</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6. </w:t>
      </w:r>
      <w:r>
        <w:rPr>
          <w:rFonts w:eastAsia="Times New Roman" w:cs="Times New Roman"/>
          <w:sz w:val="24"/>
          <w:szCs w:val="24"/>
        </w:rPr>
        <w:t>Increase Purchase Frequency for FASHION Category Items. The FASHION category generates 17.1% of sales value from only 10.0% of volume, making it the highest per-unit revenue category in the portfolio. However, given its premium price point, retailers may be reluctant to hold large stocks. The distributor should consider placing smaller, more frequent purchase orders for FASHION category items — reducing the financial risk of holding premium inventory while ensuring availability when retailer demand arises.</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7. </w:t>
      </w:r>
      <w:r>
        <w:rPr>
          <w:rFonts w:eastAsia="Times New Roman" w:cs="Times New Roman"/>
          <w:sz w:val="24"/>
          <w:szCs w:val="24"/>
        </w:rPr>
        <w:t>Implement Monthly Stock Reconciliation Using Snapshot Data. The daily stock snapshot data generated by the system's web scraping module provides a rich time series of inventory positions that is currently underutilized. A monthly reconciliation exercise — comparing the opening stock snapshot, purchase receipts, and closing stock snapshot to derive implied sales — would provide an independent cross-check on ERP billing data and highlight any discrepancies between recorded sales and actual stock movements.</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8. </w:t>
      </w:r>
      <w:r>
        <w:rPr>
          <w:rFonts w:eastAsia="Times New Roman" w:cs="Times New Roman"/>
          <w:sz w:val="24"/>
          <w:szCs w:val="24"/>
        </w:rPr>
        <w:t>Prioritize Stocking in the 34B to 38C Cup Size Range. The size analysis confirms that cup sizes 36C, 36B, 34B, and 38C are the highest-demand variants within the innerwear range. Purchase orders for innerwear styles should be weighted toward this size band, with proportionally smaller allocations for extreme sizes (32B, 40C and above) that show lower and more intermittent demand. This size-weighted purchasing approach would improve inventory efficiency and reduce the proportion of slow-moving size stock.</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9. </w:t>
      </w:r>
      <w:r>
        <w:rPr>
          <w:rFonts w:eastAsia="Times New Roman" w:cs="Times New Roman"/>
          <w:sz w:val="24"/>
          <w:szCs w:val="24"/>
        </w:rPr>
        <w:t>Use the Three-Month Forecast as the Default Purchase Planning Input. The model's April-June 2026 forecast of 200-235 units per month for style D143 should be adopted as the baseline for purchase planning for this style in Q1 FY 2026-27. As actual sales data accumulates, the model should be retrained monthly — a process that takes less than five minutes using the Python scripts developed in this study — to incorporate the most recent demand information and improve forward predictions.</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10. </w:t>
      </w:r>
      <w:r>
        <w:rPr>
          <w:rFonts w:eastAsia="Times New Roman" w:cs="Times New Roman"/>
          <w:sz w:val="24"/>
          <w:szCs w:val="24"/>
        </w:rPr>
        <w:t>Formalize Order Cutoff and Dispatch Schedules. The app order data reveals that a significant portion of orders carry notes such as HOLD_ORDER and CALL_BEFORE_DISPATCH, indicating informal and variable fulfillment timing. Establishing a formal weekly order cutoff — beyond which orders are queued for the following week's dispatch — would improve planning predictability, reduce partial fulfillment incidents, and enable more efficient route planning for deliveries.</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11. </w:t>
      </w:r>
      <w:r>
        <w:rPr>
          <w:rFonts w:eastAsia="Times New Roman" w:cs="Times New Roman"/>
          <w:sz w:val="24"/>
          <w:szCs w:val="24"/>
        </w:rPr>
        <w:t>Capture Reason Codes for Order Amendments and Partial Fulfillments. Currently, when an order is partially fulfilled due to stockout, there is no structured record of the unmet demand. Adding a reason code field to the order management system for partial fulfillments — distinguishing between stockout, quality rejection, and retailer cancellation — would enable the quantification of lost sales opportunity, a metric that is currently invisible in the firm's data.</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12. </w:t>
      </w:r>
      <w:r>
        <w:rPr>
          <w:rFonts w:eastAsia="Times New Roman" w:cs="Times New Roman"/>
          <w:sz w:val="24"/>
          <w:szCs w:val="24"/>
        </w:rPr>
        <w:t>Extend the Forecasting Model to Cover NR14 Style Variants. While the NR14 style (NCP-P010 category) exhibits intermittent monthly demand that is poorly suited to continuous time series forecasting, its high cumulative volume makes it important for purchase planning. A separate forecasting approach using episode-based analysis — identifying the typical ordering interval, typical order quantity, and triggering conditions for NR14 purchases — would complement the time series model and provide purchase guidance for this style class.</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13. </w:t>
      </w:r>
      <w:r>
        <w:rPr>
          <w:rFonts w:eastAsia="Times New Roman" w:cs="Times New Roman"/>
          <w:sz w:val="24"/>
          <w:szCs w:val="24"/>
        </w:rPr>
        <w:t>Share Forecasting Outputs with the Parent Company for Joint Planning. The demand forecasting insights generated by this system — particularly the ability to anticipate the December and March target-driven demand spikes — could be shared with the parent company's regional sales team to enable better production planning and stock allocation at the depot level. Collaborative supply chain visibility between distributor and company would reduce the likelihood of depot-level stockouts that currently prevent the distributor from fulfilling retailer demand even when willing to purchase.</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14. </w:t>
      </w:r>
      <w:r>
        <w:rPr>
          <w:rFonts w:eastAsia="Times New Roman" w:cs="Times New Roman"/>
          <w:sz w:val="24"/>
          <w:szCs w:val="24"/>
        </w:rPr>
        <w:t>Build Retailer-Level Demand Profiles for Key Accounts. Given that RETAILER_026 and RETAILER_021 together represent over half of total sales, individual purchase pattern analysis for these accounts — including preferred order timing, typical order size by category, and historical target achievement trajectory — would enable highly personalized demand forecasting that is far more accurate than aggregate style-level models for these specific accounts.</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15. </w:t>
      </w:r>
      <w:r>
        <w:rPr>
          <w:rFonts w:eastAsia="Times New Roman" w:cs="Times New Roman"/>
          <w:sz w:val="24"/>
          <w:szCs w:val="24"/>
        </w:rPr>
        <w:t>Plan for Streamlit Dashboard Deployment for Management Reporting. The analytical framework developed in this project — covering monthly sales trends, category performance, retailer analysis, and demand forecasting — is well-suited to deployment as an interactive Streamlit dashboard. Such a dashboard would enable the business owner to review key performance metrics and forecast outputs without requiring direct engagement with Python scripts, making the analytical capabilities of this project sustainable beyond the academic study context.</w:t>
      </w:r>
    </w:p>
    <w:p>
      <w:pPr>
        <w:pStyle w:val="Normal"/>
        <w:spacing w:lineRule="auto" w:line="480"/>
        <w:rPr>
          <w:sz w:val="24"/>
          <w:szCs w:val="24"/>
        </w:rPr>
      </w:pPr>
      <w:r>
        <w:rPr>
          <w:sz w:val="24"/>
          <w:szCs w:val="24"/>
        </w:rPr>
      </w:r>
    </w:p>
    <w:p>
      <w:pPr>
        <w:pStyle w:val="Heading2"/>
        <w:spacing w:lineRule="auto" w:line="480" w:before="360" w:after="200"/>
        <w:rPr>
          <w:rFonts w:ascii="Times New Roman" w:hAnsi="Times New Roman" w:eastAsia="Times New Roman" w:cs="Times New Roman"/>
          <w:b/>
          <w:bCs/>
          <w:sz w:val="24"/>
          <w:szCs w:val="24"/>
        </w:rPr>
      </w:pPr>
      <w:r>
        <w:rPr>
          <w:rFonts w:eastAsia="Times New Roman" w:cs="Times New Roman"/>
          <w:b/>
          <w:bCs/>
          <w:sz w:val="24"/>
          <w:szCs w:val="24"/>
        </w:rPr>
      </w:r>
    </w:p>
    <w:p>
      <w:pPr>
        <w:pStyle w:val="Heading2"/>
        <w:spacing w:lineRule="auto" w:line="480" w:before="360" w:after="200"/>
        <w:rPr>
          <w:rFonts w:ascii="Times New Roman" w:hAnsi="Times New Roman" w:eastAsia="Times New Roman" w:cs="Times New Roman"/>
          <w:b/>
          <w:bCs/>
          <w:sz w:val="24"/>
          <w:szCs w:val="24"/>
        </w:rPr>
      </w:pPr>
      <w:bookmarkStart w:id="55" w:name="__RefHeading___Toc2780_4269637869"/>
      <w:bookmarkEnd w:id="55"/>
      <w:r>
        <w:rPr>
          <w:rFonts w:eastAsia="Times New Roman" w:cs="Times New Roman"/>
          <w:b/>
          <w:bCs/>
          <w:sz w:val="24"/>
          <w:szCs w:val="24"/>
        </w:rPr>
        <w:t>6.2  Limitations of the Study</w:t>
      </w:r>
    </w:p>
    <w:p>
      <w:pPr>
        <w:pStyle w:val="Normal"/>
        <w:spacing w:lineRule="auto" w:line="480" w:before="0" w:after="200"/>
        <w:ind w:firstLine="720"/>
        <w:jc w:val="both"/>
        <w:rPr>
          <w:sz w:val="24"/>
          <w:szCs w:val="24"/>
        </w:rPr>
      </w:pPr>
      <w:r>
        <w:rPr>
          <w:rFonts w:eastAsia="Times New Roman" w:cs="Times New Roman"/>
          <w:sz w:val="24"/>
          <w:szCs w:val="24"/>
        </w:rPr>
        <w:t>While this study achieves its stated research objectives and produces actionable findings, several limitations must be acknowledged that qualify the scope of the conclusions and point to directions for future research.</w:t>
      </w:r>
    </w:p>
    <w:p>
      <w:pPr>
        <w:pStyle w:val="Normal"/>
        <w:spacing w:lineRule="auto" w:line="480"/>
        <w:rPr>
          <w:sz w:val="24"/>
          <w:szCs w:val="24"/>
        </w:rPr>
      </w:pPr>
      <w:r>
        <w:rPr>
          <w:sz w:val="24"/>
          <w:szCs w:val="24"/>
        </w:rPr>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1. </w:t>
      </w:r>
      <w:r>
        <w:rPr>
          <w:rFonts w:eastAsia="Times New Roman" w:cs="Times New Roman"/>
          <w:sz w:val="24"/>
          <w:szCs w:val="24"/>
        </w:rPr>
        <w:t>Short History for App-Recorded Order Data. The app order data covers only four months (November 2025 to March 2026), as the structured data export feature of the distribution management system was implemented in November 2025. This severely limits the utility of the app data for time series analysis and means it could not be used as a primary input for the forecasting model. As the system continues to operate, this limitation will diminish over time, but it represents a significant constraint on the current study.</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2. </w:t>
      </w:r>
      <w:r>
        <w:rPr>
          <w:rFonts w:eastAsia="Times New Roman" w:cs="Times New Roman"/>
          <w:sz w:val="24"/>
          <w:szCs w:val="24"/>
        </w:rPr>
        <w:t>Style Code Anonymization Introduces Analytical Friction. The anonymization of style codes — necessary to protect proprietary product information — required multiple mapping steps during data processing and introduced alignment challenges between the sales, purchase, and SKU master datasets. While these challenges were resolved for the analysis, the anonymized codes reduce the intuitive interpretability of results for practitioners and add a layer of complexity to any future data integration exercise.</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3. </w:t>
      </w:r>
      <w:r>
        <w:rPr>
          <w:rFonts w:eastAsia="Times New Roman" w:cs="Times New Roman"/>
          <w:sz w:val="24"/>
          <w:szCs w:val="24"/>
        </w:rPr>
        <w:t>Inability to Directly Model Incentive-Driven Demand. The study identifies incentive-driven purchasing behaviour as a key demand driver but is unable to model or predict it quantitatively, as no data on retailer target achievement status or incentive scheme parameters was available in structured form. This is the primary cause of the high MAPE values observed in the forecasting model evaluation. Incorporating this information — for example, through a binary flag indicating whether the current month is a target achievement month for a given retailer — would substantially improve model accuracy.</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4. </w:t>
      </w:r>
      <w:r>
        <w:rPr>
          <w:rFonts w:eastAsia="Times New Roman" w:cs="Times New Roman"/>
          <w:sz w:val="24"/>
          <w:szCs w:val="24"/>
        </w:rPr>
        <w:t>Stock Snapshot Data Carries an Inherent 2-3 Day Lag. The stock data collected through the web scraping module reflects ERP portal updates with a lag of approximately two to three business days. In fast-moving demand periods — particularly during December and March peak months — this lag means the stock data does not accurately reflect real-time warehouse positions. Purchase decisions made on the basis of snapshot data during peak periods may therefore be based on stale inventory information.</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5. </w:t>
      </w:r>
      <w:r>
        <w:rPr>
          <w:rFonts w:eastAsia="Times New Roman" w:cs="Times New Roman"/>
          <w:sz w:val="24"/>
          <w:szCs w:val="24"/>
        </w:rPr>
        <w:t>Demand Forecasting Model Limited to Top Style Codes. The forecasting model was developed and evaluated for style D143, the highest-volume style. The model has not been validated against other style codes, some of which have significantly more intermittent demand patterns. The generalizability of the Linear Regression approach to the full portfolio of 133 styles is therefore unconfirmed, and different styles may require different modeling approaches.</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6. </w:t>
      </w:r>
      <w:r>
        <w:rPr>
          <w:rFonts w:eastAsia="Times New Roman" w:cs="Times New Roman"/>
          <w:sz w:val="24"/>
          <w:szCs w:val="24"/>
        </w:rPr>
        <w:t>Single Territory and Single Brand Context. The study is conducted entirely within a single distribution territory (Goa) for a single brand. While this depth of focus enables detailed analysis, the findings — particularly the retailer concentration statistics and demand pattern characteristics — cannot be generalized to other territories or other brands without further validation. Different markets may have different retailer structures, incentive schemes, and seasonal patterns.</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7. </w:t>
      </w:r>
      <w:r>
        <w:rPr>
          <w:rFonts w:eastAsia="Times New Roman" w:cs="Times New Roman"/>
          <w:sz w:val="24"/>
          <w:szCs w:val="24"/>
        </w:rPr>
        <w:t>SKU Master Incompleteness for Discontinued Products. The SKU master provided by the parent company does not include entries for all styles present in the historical sales and purchase data, as discontinued products are removed from the active catalogue. This resulted in approximately 10% of sales records being unmatched to the SKU master, limiting the category-level analysis for historical transactions. A complete historical product catalogue would enable more comprehensive category performance analysis across the full study period.</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8. </w:t>
      </w:r>
      <w:r>
        <w:rPr>
          <w:rFonts w:eastAsia="Times New Roman" w:cs="Times New Roman"/>
          <w:sz w:val="24"/>
          <w:szCs w:val="24"/>
        </w:rPr>
        <w:t>No Consumer-Level Data Available. The analysis in this study covers the distributor-to-retailer transaction layer. No consumer-level sales data — representing purchases by end consumers from retailers — was available. As a result, the study cannot distinguish between retailer stocking behaviour and actual end-consumer demand, which are related but distinct constructs. Access to retailer point-of-sale data would significantly enhance the demand signal quality and forecasting accuracy.</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9. </w:t>
      </w:r>
      <w:r>
        <w:rPr>
          <w:rFonts w:eastAsia="Times New Roman" w:cs="Times New Roman"/>
          <w:sz w:val="24"/>
          <w:szCs w:val="24"/>
        </w:rPr>
        <w:t>Purchase Data Begins November 2023. The purchase data available for this study begins from November 2023, coinciding with the current firm's operational start date. The absence of purchase history prior to this date means that the first financial year of purchase data (FY 2023-24) is incomplete, slightly limiting the comparability of FY-wise purchase analysis. Future analysis will benefit from a complete multi-year purchase history as the firm continues operations.</w:t>
      </w:r>
    </w:p>
    <w:p>
      <w:pPr>
        <w:pStyle w:val="Normal"/>
        <w:spacing w:lineRule="auto" w:line="480" w:before="0" w:after="160"/>
        <w:ind w:hanging="480" w:start="720"/>
        <w:jc w:val="both"/>
        <w:rPr>
          <w:sz w:val="24"/>
          <w:szCs w:val="24"/>
        </w:rPr>
      </w:pPr>
      <w:r>
        <w:rPr>
          <w:rFonts w:eastAsia="Times New Roman" w:cs="Times New Roman"/>
          <w:b/>
          <w:bCs/>
          <w:sz w:val="24"/>
          <w:szCs w:val="24"/>
        </w:rPr>
        <w:t xml:space="preserve">10. </w:t>
      </w:r>
      <w:r>
        <w:rPr>
          <w:rFonts w:eastAsia="Times New Roman" w:cs="Times New Roman"/>
          <w:sz w:val="24"/>
          <w:szCs w:val="24"/>
        </w:rPr>
        <w:t>Model Training Period of 25 Months May Be Insufficient for Robust Seasonal Patterns. Time series forecasting models for seasonal products ideally require a minimum of two to three full seasonal cycles for reliable parameter estimation. The 25-month training period used in this study provides approximately two seasonal cycles — sufficient for directional forecasting but insufficient for high-confidence seasonal amplitude estimation. Model accuracy is expected to improve materially as additional years of structured data accumulate.</w:t>
      </w:r>
    </w:p>
    <w:p>
      <w:pPr>
        <w:pStyle w:val="Heading1"/>
        <w:spacing w:lineRule="auto" w:line="480" w:before="480" w:after="240"/>
        <w:rPr>
          <w:rFonts w:ascii="Times New Roman" w:hAnsi="Times New Roman" w:eastAsia="Times New Roman" w:cs="Times New Roman"/>
          <w:b/>
          <w:bCs/>
          <w:sz w:val="24"/>
          <w:szCs w:val="24"/>
        </w:rPr>
      </w:pPr>
      <w:r>
        <w:rPr>
          <w:rFonts w:eastAsia="Times New Roman" w:cs="Times New Roman"/>
          <w:b/>
          <w:bCs/>
          <w:sz w:val="24"/>
          <w:szCs w:val="24"/>
        </w:rPr>
      </w:r>
      <w:r>
        <w:br w:type="page"/>
      </w:r>
    </w:p>
    <w:p>
      <w:pPr>
        <w:pStyle w:val="Heading1"/>
        <w:spacing w:lineRule="auto" w:line="480" w:before="0" w:after="240"/>
        <w:rPr>
          <w:rFonts w:ascii="Times New Roman" w:hAnsi="Times New Roman" w:eastAsia="Times New Roman" w:cs="Times New Roman"/>
          <w:b/>
          <w:bCs/>
          <w:sz w:val="24"/>
          <w:szCs w:val="24"/>
        </w:rPr>
      </w:pPr>
      <w:bookmarkStart w:id="56" w:name="__RefHeading___Toc2782_4269637869"/>
      <w:bookmarkEnd w:id="56"/>
      <w:r>
        <w:rPr>
          <w:rFonts w:eastAsia="Times New Roman" w:cs="Times New Roman"/>
          <w:b/>
          <w:bCs/>
          <w:sz w:val="24"/>
          <w:szCs w:val="24"/>
        </w:rPr>
        <w:t>BIBLIOGRAPHY / REFERENCES</w:t>
      </w:r>
    </w:p>
    <w:p>
      <w:pPr>
        <w:pStyle w:val="Normal"/>
        <w:spacing w:lineRule="auto" w:line="480"/>
        <w:rPr>
          <w:sz w:val="24"/>
          <w:szCs w:val="24"/>
        </w:rPr>
      </w:pPr>
      <w:r>
        <w:rPr>
          <w:sz w:val="24"/>
          <w:szCs w:val="24"/>
        </w:rPr>
      </w:r>
    </w:p>
    <w:p>
      <w:pPr>
        <w:pStyle w:val="Normal"/>
        <w:spacing w:lineRule="auto" w:line="480" w:before="0" w:after="200"/>
        <w:jc w:val="both"/>
        <w:rPr>
          <w:sz w:val="24"/>
          <w:szCs w:val="24"/>
        </w:rPr>
      </w:pPr>
      <w:r>
        <w:rPr>
          <w:rFonts w:eastAsia="Times New Roman" w:cs="Times New Roman"/>
          <w:sz w:val="24"/>
          <w:szCs w:val="24"/>
        </w:rPr>
        <w:t>All references are listed below in alphabetical order by the first author's last name, in accordance with the American Psychological Association (APA) Publication Manual, 7th Edition.</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57" w:name="__RefHeading___Toc2784_4269637869"/>
      <w:bookmarkEnd w:id="57"/>
      <w:r>
        <w:rPr>
          <w:rFonts w:eastAsia="Times New Roman" w:cs="Times New Roman"/>
          <w:b/>
          <w:bCs/>
          <w:sz w:val="24"/>
          <w:szCs w:val="24"/>
        </w:rPr>
        <w:t>Research Papers and Journal Articles</w:t>
      </w:r>
    </w:p>
    <w:p>
      <w:pPr>
        <w:pStyle w:val="Normal"/>
        <w:spacing w:lineRule="auto" w:line="480"/>
        <w:rPr>
          <w:sz w:val="24"/>
          <w:szCs w:val="24"/>
        </w:rPr>
      </w:pPr>
      <w:r>
        <w:rPr>
          <w:sz w:val="24"/>
          <w:szCs w:val="24"/>
        </w:rPr>
      </w:r>
    </w:p>
    <w:p>
      <w:pPr>
        <w:pStyle w:val="Normal"/>
        <w:spacing w:lineRule="auto" w:line="480" w:before="0" w:after="200"/>
        <w:ind w:hanging="720" w:start="720"/>
        <w:jc w:val="both"/>
        <w:rPr>
          <w:sz w:val="24"/>
          <w:szCs w:val="24"/>
        </w:rPr>
      </w:pPr>
      <w:r>
        <w:rPr>
          <w:rFonts w:eastAsia="Times New Roman" w:cs="Times New Roman"/>
          <w:sz w:val="24"/>
          <w:szCs w:val="24"/>
        </w:rPr>
        <w:t>Carbonneau, R., Laframboise, K., &amp; Vahidov, R. (2008). Application of machine learning techniques for supply chain demand forecasting. European Journal of Operational Research, 184(3), 1140–1154. https://doi.org/10.1016/j.ejor.2006.12.004</w:t>
      </w:r>
    </w:p>
    <w:p>
      <w:pPr>
        <w:pStyle w:val="Normal"/>
        <w:spacing w:lineRule="auto" w:line="480" w:before="0" w:after="200"/>
        <w:ind w:hanging="720" w:start="720"/>
        <w:jc w:val="both"/>
        <w:rPr>
          <w:sz w:val="24"/>
          <w:szCs w:val="24"/>
        </w:rPr>
      </w:pPr>
      <w:r>
        <w:rPr>
          <w:rFonts w:eastAsia="Times New Roman" w:cs="Times New Roman"/>
          <w:sz w:val="24"/>
          <w:szCs w:val="24"/>
        </w:rPr>
        <w:t>Chatterjee, S., Rana, N. P., &amp; Dwivedi, Y. K. (2022). How does digital marketing influence supply chain performance and resilience in SMEs? International Journal of Production Economics, 248, 108515. https://doi.org/10.1016/j.ijpe.2022.108515</w:t>
      </w:r>
    </w:p>
    <w:p>
      <w:pPr>
        <w:pStyle w:val="Normal"/>
        <w:spacing w:lineRule="auto" w:line="480" w:before="0" w:after="200"/>
        <w:ind w:hanging="720" w:start="720"/>
        <w:jc w:val="both"/>
        <w:rPr>
          <w:sz w:val="24"/>
          <w:szCs w:val="24"/>
        </w:rPr>
      </w:pPr>
      <w:r>
        <w:rPr>
          <w:rFonts w:eastAsia="Times New Roman" w:cs="Times New Roman"/>
          <w:sz w:val="24"/>
          <w:szCs w:val="24"/>
        </w:rPr>
        <w:t>Chopra, S., &amp; Sodhi, M. S. (2004). Managing risk to avoid supply-chain breakdown. MIT Sloan Management Review, 46(1), 53–62.</w:t>
      </w:r>
    </w:p>
    <w:p>
      <w:pPr>
        <w:pStyle w:val="Normal"/>
        <w:spacing w:lineRule="auto" w:line="480" w:before="0" w:after="200"/>
        <w:ind w:hanging="720" w:start="720"/>
        <w:jc w:val="both"/>
        <w:rPr>
          <w:sz w:val="24"/>
          <w:szCs w:val="24"/>
        </w:rPr>
      </w:pPr>
      <w:r>
        <w:rPr>
          <w:rFonts w:eastAsia="Times New Roman" w:cs="Times New Roman"/>
          <w:sz w:val="24"/>
          <w:szCs w:val="24"/>
        </w:rPr>
        <w:t>Fildes, R., Ma, S., &amp; Kolassa, S. (2019). Retail forecasting: Research and practice. International Journal of Forecasting, 38(4), 1283–1318. https://doi.org/10.1016/j.ijforecast.2019.06.004</w:t>
      </w:r>
    </w:p>
    <w:p>
      <w:pPr>
        <w:pStyle w:val="Normal"/>
        <w:spacing w:lineRule="auto" w:line="480" w:before="0" w:after="200"/>
        <w:ind w:hanging="720" w:start="720"/>
        <w:jc w:val="both"/>
        <w:rPr>
          <w:sz w:val="24"/>
          <w:szCs w:val="24"/>
        </w:rPr>
      </w:pPr>
      <w:r>
        <w:rPr>
          <w:rFonts w:eastAsia="Times New Roman" w:cs="Times New Roman"/>
          <w:sz w:val="24"/>
          <w:szCs w:val="24"/>
        </w:rPr>
        <w:t>Jain, A., &amp; Dangayach, G. S. (2020). Demand forecasting practices and their impact on supply chain performance in Indian apparel firms. Journal of Fashion Marketing and Management, 24(2), 254–273. https://doi.org/10.1108/JFMM-04-2019-0065</w:t>
      </w:r>
    </w:p>
    <w:p>
      <w:pPr>
        <w:pStyle w:val="Normal"/>
        <w:spacing w:lineRule="auto" w:line="480" w:before="0" w:after="200"/>
        <w:ind w:hanging="720" w:start="720"/>
        <w:jc w:val="both"/>
        <w:rPr>
          <w:sz w:val="24"/>
          <w:szCs w:val="24"/>
        </w:rPr>
      </w:pPr>
      <w:r>
        <w:rPr>
          <w:rFonts w:eastAsia="Times New Roman" w:cs="Times New Roman"/>
          <w:sz w:val="24"/>
          <w:szCs w:val="24"/>
        </w:rPr>
        <w:t>Kumar, R., &amp; Sharma, V. (2021). Digital transformation readiness in Indian FMCG distribution: Barriers, enablers, and outcomes. Journal of Business Logistics, 42(3), 301–319. https://doi.org/10.1111/jbl.12278</w:t>
      </w:r>
    </w:p>
    <w:p>
      <w:pPr>
        <w:pStyle w:val="Normal"/>
        <w:spacing w:lineRule="auto" w:line="480" w:before="0" w:after="200"/>
        <w:ind w:hanging="720" w:start="720"/>
        <w:jc w:val="both"/>
        <w:rPr>
          <w:sz w:val="24"/>
          <w:szCs w:val="24"/>
        </w:rPr>
      </w:pPr>
      <w:r>
        <w:rPr>
          <w:rFonts w:eastAsia="Times New Roman" w:cs="Times New Roman"/>
          <w:sz w:val="24"/>
          <w:szCs w:val="24"/>
        </w:rPr>
        <w:t>Rajagopalan, P., &amp; Rao, S. (2023). Inventory management practices and stockout performance in branded apparel distribution: Evidence from South India. Supply Chain Management: An International Journal, 28(1), 88–107. https://doi.org/10.1108/SCM-03-2022-0098</w:t>
      </w:r>
    </w:p>
    <w:p>
      <w:pPr>
        <w:pStyle w:val="Normal"/>
        <w:spacing w:lineRule="auto" w:line="480" w:before="0" w:after="200"/>
        <w:ind w:hanging="720" w:start="720"/>
        <w:jc w:val="both"/>
        <w:rPr>
          <w:sz w:val="24"/>
          <w:szCs w:val="24"/>
        </w:rPr>
      </w:pPr>
      <w:r>
        <w:rPr>
          <w:rFonts w:eastAsia="Times New Roman" w:cs="Times New Roman"/>
          <w:sz w:val="24"/>
          <w:szCs w:val="24"/>
        </w:rPr>
        <w:t>Rao, M., &amp; Menon, A. (2020). Mobile-enabled order management in consumer goods distribution: Evidence from South Asia. International Journal of Retail and Distribution Management, 48(7), 721–738. https://doi.org/10.1108/IJRDM-09-2019-0293</w:t>
      </w:r>
    </w:p>
    <w:p>
      <w:pPr>
        <w:pStyle w:val="Normal"/>
        <w:spacing w:lineRule="auto" w:line="480" w:before="0" w:after="200"/>
        <w:ind w:hanging="720" w:start="720"/>
        <w:jc w:val="both"/>
        <w:rPr>
          <w:sz w:val="24"/>
          <w:szCs w:val="24"/>
        </w:rPr>
      </w:pPr>
      <w:r>
        <w:rPr>
          <w:rFonts w:eastAsia="Times New Roman" w:cs="Times New Roman"/>
          <w:sz w:val="24"/>
          <w:szCs w:val="24"/>
        </w:rPr>
        <w:t>Roy, S., &amp; Bose, I. (2021). Web scraping and automated data collection for operational intelligence in distribution SMEs: A case study. Journal of Enterprise Information Management, 34(5), 1487–1504. https://doi.org/10.1108/JEIM-06-2020-0244</w:t>
      </w:r>
    </w:p>
    <w:p>
      <w:pPr>
        <w:pStyle w:val="Normal"/>
        <w:spacing w:lineRule="auto" w:line="480" w:before="0" w:after="200"/>
        <w:ind w:hanging="720" w:start="720"/>
        <w:jc w:val="both"/>
        <w:rPr>
          <w:sz w:val="24"/>
          <w:szCs w:val="24"/>
        </w:rPr>
      </w:pPr>
      <w:r>
        <w:rPr>
          <w:rFonts w:eastAsia="Times New Roman" w:cs="Times New Roman"/>
          <w:sz w:val="24"/>
          <w:szCs w:val="24"/>
        </w:rPr>
        <w:t>Sodhi, M. S., Son, B. G., &amp; Tang, C. S. (2012). Researchers' perspectives on supply chain risk management. Production and Operations Management, 21(1), 1–13. https://doi.org/10.1111/j.1937-5956.2011.01251.x</w:t>
      </w:r>
    </w:p>
    <w:p>
      <w:pPr>
        <w:pStyle w:val="Normal"/>
        <w:spacing w:lineRule="auto" w:line="480" w:before="0" w:after="200"/>
        <w:ind w:hanging="720" w:start="720"/>
        <w:jc w:val="both"/>
        <w:rPr>
          <w:sz w:val="24"/>
          <w:szCs w:val="24"/>
        </w:rPr>
      </w:pPr>
      <w:r>
        <w:rPr>
          <w:rFonts w:eastAsia="Times New Roman" w:cs="Times New Roman"/>
          <w:sz w:val="24"/>
          <w:szCs w:val="24"/>
        </w:rPr>
        <w:t>Syntetos, A. A., Babai, Z., Boylan, J. E., Kolassa, S., &amp; Nikolopoulos, K. (2016). Supply chain forecasting: Theory, practice, their gap and the future. European Journal of Operational Research, 252(1), 1–26. https://doi.org/10.1016/j.ejor.2015.11.010</w:t>
      </w:r>
    </w:p>
    <w:p>
      <w:pPr>
        <w:pStyle w:val="Normal"/>
        <w:spacing w:lineRule="auto" w:line="480" w:before="0" w:after="200"/>
        <w:ind w:hanging="720" w:start="720"/>
        <w:jc w:val="both"/>
        <w:rPr>
          <w:sz w:val="24"/>
          <w:szCs w:val="24"/>
        </w:rPr>
      </w:pPr>
      <w:r>
        <w:rPr>
          <w:rFonts w:eastAsia="Times New Roman" w:cs="Times New Roman"/>
          <w:sz w:val="24"/>
          <w:szCs w:val="24"/>
        </w:rPr>
        <w:t>Wamba, S. F., Gunasekaran, A., Akter, S., Ren, S. J., Dubey, R., &amp; Childe, S. J. (2017). Big data analytics and firm performance: Effects of dynamic capabilities. Journal of Business Research, 70, 356–365. https://doi.org/10.1016/j.jbusres.2016.08.009</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58" w:name="__RefHeading___Toc2786_4269637869"/>
      <w:bookmarkEnd w:id="58"/>
      <w:r>
        <w:rPr>
          <w:rFonts w:eastAsia="Times New Roman" w:cs="Times New Roman"/>
          <w:b/>
          <w:bCs/>
          <w:sz w:val="24"/>
          <w:szCs w:val="24"/>
        </w:rPr>
        <w:t>Books</w:t>
      </w:r>
    </w:p>
    <w:p>
      <w:pPr>
        <w:pStyle w:val="Normal"/>
        <w:spacing w:lineRule="auto" w:line="480"/>
        <w:rPr>
          <w:sz w:val="24"/>
          <w:szCs w:val="24"/>
        </w:rPr>
      </w:pPr>
      <w:r>
        <w:rPr>
          <w:sz w:val="24"/>
          <w:szCs w:val="24"/>
        </w:rPr>
      </w:r>
    </w:p>
    <w:p>
      <w:pPr>
        <w:pStyle w:val="Normal"/>
        <w:spacing w:lineRule="auto" w:line="480" w:before="0" w:after="200"/>
        <w:ind w:hanging="720" w:start="720"/>
        <w:jc w:val="both"/>
        <w:rPr>
          <w:sz w:val="24"/>
          <w:szCs w:val="24"/>
        </w:rPr>
      </w:pPr>
      <w:r>
        <w:rPr>
          <w:rFonts w:eastAsia="Times New Roman" w:cs="Times New Roman"/>
          <w:sz w:val="24"/>
          <w:szCs w:val="24"/>
        </w:rPr>
        <w:t>Davenport, T. H., &amp; Harris, J. G. (2017). Competing on analytics: Updated, with a new introduction. Harvard Business Review Press.</w:t>
      </w:r>
    </w:p>
    <w:p>
      <w:pPr>
        <w:pStyle w:val="Normal"/>
        <w:spacing w:lineRule="auto" w:line="480" w:before="0" w:after="200"/>
        <w:ind w:hanging="720" w:start="720"/>
        <w:jc w:val="both"/>
        <w:rPr>
          <w:sz w:val="24"/>
          <w:szCs w:val="24"/>
        </w:rPr>
      </w:pPr>
      <w:r>
        <w:rPr>
          <w:rFonts w:eastAsia="Times New Roman" w:cs="Times New Roman"/>
          <w:sz w:val="24"/>
          <w:szCs w:val="24"/>
        </w:rPr>
        <w:t>McKinney, W. (2022). Python for data analysis: Data wrangling with pandas, NumPy, and Jupyter (3rd ed.). O'Reilly Media.</w:t>
      </w:r>
    </w:p>
    <w:p>
      <w:pPr>
        <w:pStyle w:val="Normal"/>
        <w:spacing w:lineRule="auto" w:line="480" w:before="0" w:after="200"/>
        <w:ind w:hanging="720" w:start="720"/>
        <w:jc w:val="both"/>
        <w:rPr>
          <w:sz w:val="24"/>
          <w:szCs w:val="24"/>
        </w:rPr>
      </w:pPr>
      <w:r>
        <w:rPr>
          <w:rFonts w:eastAsia="Times New Roman" w:cs="Times New Roman"/>
          <w:sz w:val="24"/>
          <w:szCs w:val="24"/>
        </w:rPr>
        <w:t>Silver, E. A., Pyke, D. F., &amp; Thomas, D. J. (2017). Inventory and production management in supply chains (4th ed.). CRC Press.</w:t>
      </w:r>
    </w:p>
    <w:p>
      <w:pPr>
        <w:pStyle w:val="Normal"/>
        <w:spacing w:lineRule="auto" w:line="480" w:before="0" w:after="200"/>
        <w:ind w:hanging="720" w:start="720"/>
        <w:jc w:val="both"/>
        <w:rPr>
          <w:sz w:val="24"/>
          <w:szCs w:val="24"/>
        </w:rPr>
      </w:pPr>
      <w:r>
        <w:rPr>
          <w:rFonts w:eastAsia="Times New Roman" w:cs="Times New Roman"/>
          <w:sz w:val="24"/>
          <w:szCs w:val="24"/>
        </w:rPr>
        <w:t>VanderPlas, J. (2016). Python data science handbook: Essential tools for working with data. O'Reilly Media.</w:t>
      </w:r>
    </w:p>
    <w:p>
      <w:pPr>
        <w:pStyle w:val="Normal"/>
        <w:spacing w:lineRule="auto" w:line="480"/>
        <w:rPr>
          <w:sz w:val="24"/>
          <w:szCs w:val="24"/>
        </w:rPr>
      </w:pPr>
      <w:r>
        <w:rPr>
          <w:sz w:val="24"/>
          <w:szCs w:val="24"/>
        </w:rPr>
      </w:r>
    </w:p>
    <w:p>
      <w:pPr>
        <w:pStyle w:val="Heading2"/>
        <w:spacing w:lineRule="auto" w:line="480" w:before="360" w:after="200"/>
        <w:rPr>
          <w:sz w:val="24"/>
          <w:szCs w:val="24"/>
        </w:rPr>
      </w:pPr>
      <w:bookmarkStart w:id="59" w:name="__RefHeading___Toc2788_4269637869"/>
      <w:bookmarkEnd w:id="59"/>
      <w:r>
        <w:rPr>
          <w:rFonts w:eastAsia="Times New Roman" w:cs="Times New Roman"/>
          <w:b/>
          <w:bCs/>
          <w:sz w:val="24"/>
          <w:szCs w:val="24"/>
        </w:rPr>
        <w:t>Websites and Online Resources</w:t>
      </w:r>
    </w:p>
    <w:p>
      <w:pPr>
        <w:pStyle w:val="Normal"/>
        <w:spacing w:lineRule="auto" w:line="480"/>
        <w:rPr>
          <w:sz w:val="24"/>
          <w:szCs w:val="24"/>
        </w:rPr>
      </w:pPr>
      <w:r>
        <w:rPr>
          <w:sz w:val="24"/>
          <w:szCs w:val="24"/>
        </w:rPr>
      </w:r>
    </w:p>
    <w:p>
      <w:pPr>
        <w:pStyle w:val="Normal"/>
        <w:spacing w:lineRule="auto" w:line="480" w:before="0" w:after="200"/>
        <w:ind w:hanging="720" w:start="720"/>
        <w:jc w:val="both"/>
        <w:rPr>
          <w:sz w:val="24"/>
          <w:szCs w:val="24"/>
        </w:rPr>
      </w:pPr>
      <w:r>
        <w:rPr>
          <w:rFonts w:eastAsia="Times New Roman" w:cs="Times New Roman"/>
          <w:sz w:val="24"/>
          <w:szCs w:val="24"/>
        </w:rPr>
        <w:t>Government of India, Ministry of Electronics and Information Technology. (2023). Digital India programme — Overview and initiatives. https://www.digitalindia.gov.in</w:t>
      </w:r>
    </w:p>
    <w:p>
      <w:pPr>
        <w:pStyle w:val="Normal"/>
        <w:spacing w:lineRule="auto" w:line="480" w:before="0" w:after="200"/>
        <w:ind w:hanging="720" w:start="720"/>
        <w:jc w:val="both"/>
        <w:rPr>
          <w:sz w:val="24"/>
          <w:szCs w:val="24"/>
        </w:rPr>
      </w:pPr>
      <w:r>
        <w:rPr>
          <w:rFonts w:eastAsia="Times New Roman" w:cs="Times New Roman"/>
          <w:sz w:val="24"/>
          <w:szCs w:val="24"/>
        </w:rPr>
        <w:t>GST Council, Government of India. (2023). E-invoicing under GST: Applicability and implementation guidelines. https://einvoice1.gst.gov.in</w:t>
      </w:r>
    </w:p>
    <w:p>
      <w:pPr>
        <w:pStyle w:val="Normal"/>
        <w:spacing w:lineRule="auto" w:line="480" w:before="0" w:after="200"/>
        <w:ind w:hanging="720" w:start="720"/>
        <w:jc w:val="both"/>
        <w:rPr>
          <w:sz w:val="24"/>
          <w:szCs w:val="24"/>
        </w:rPr>
      </w:pPr>
      <w:r>
        <w:rPr>
          <w:rFonts w:eastAsia="Times New Roman" w:cs="Times New Roman"/>
          <w:sz w:val="24"/>
          <w:szCs w:val="24"/>
        </w:rPr>
        <w:t>Indian Brand Equity Foundation. (2024). FMCG industry in India: Market size, opportunities and forecast. https://www.ibef.org/industry/fmcg.aspx</w:t>
      </w:r>
    </w:p>
    <w:p>
      <w:pPr>
        <w:pStyle w:val="Normal"/>
        <w:spacing w:lineRule="auto" w:line="480" w:before="0" w:after="200"/>
        <w:ind w:hanging="720" w:start="720"/>
        <w:jc w:val="both"/>
        <w:rPr>
          <w:sz w:val="24"/>
          <w:szCs w:val="24"/>
        </w:rPr>
      </w:pPr>
      <w:r>
        <w:rPr>
          <w:rFonts w:eastAsia="Times New Roman" w:cs="Times New Roman"/>
          <w:sz w:val="24"/>
          <w:szCs w:val="24"/>
        </w:rPr>
        <w:t>Pedregosa, F., Varoquaux, G., Gramfort, A., Michel, V., Thirion, B., Grisel, O., Blondel, M., Prettenhofer, P., Weiss, R., Dubourg, V., Vanderplas, J., Passos, A., Cournapeau, D., Brucher, M., Perrot, M., &amp; Duchesnay, E. (2011). Scikit-learn: Machine learning in Python. Journal of Machine Learning Research, 12, 2825–2830. https://jmlr.org/papers/v12/pedregosa11a.html</w:t>
      </w:r>
    </w:p>
    <w:p>
      <w:pPr>
        <w:pStyle w:val="Normal"/>
        <w:spacing w:lineRule="auto" w:line="480" w:before="0" w:after="200"/>
        <w:ind w:hanging="720" w:start="720"/>
        <w:jc w:val="both"/>
        <w:rPr>
          <w:sz w:val="24"/>
          <w:szCs w:val="24"/>
        </w:rPr>
      </w:pPr>
      <w:r>
        <w:rPr>
          <w:rFonts w:eastAsia="Times New Roman" w:cs="Times New Roman"/>
          <w:sz w:val="24"/>
          <w:szCs w:val="24"/>
        </w:rPr>
        <w:t>Plotly Technologies Inc. (2015). Collaborative data science. Plotly. https://plotly.com</w:t>
      </w:r>
    </w:p>
    <w:p>
      <w:pPr>
        <w:pStyle w:val="Normal"/>
        <w:spacing w:lineRule="auto" w:line="480" w:before="0" w:after="200"/>
        <w:ind w:hanging="720" w:start="720"/>
        <w:jc w:val="both"/>
        <w:rPr>
          <w:sz w:val="24"/>
          <w:szCs w:val="24"/>
        </w:rPr>
      </w:pPr>
      <w:r>
        <w:rPr>
          <w:rFonts w:eastAsia="Times New Roman" w:cs="Times New Roman"/>
          <w:sz w:val="24"/>
          <w:szCs w:val="24"/>
        </w:rPr>
        <w:t>Streamlit Inc. (2019). Streamlit — The fastest way to build and share data apps. https://streamlit.io</w:t>
      </w:r>
    </w:p>
    <w:p>
      <w:pPr>
        <w:pStyle w:val="Heading1"/>
        <w:rPr>
          <w:sz w:val="24"/>
          <w:szCs w:val="24"/>
        </w:rPr>
      </w:pPr>
      <w:bookmarkStart w:id="60" w:name="__RefHeading___Toc2790_4269637869"/>
      <w:bookmarkEnd w:id="60"/>
      <w:r>
        <w:rPr>
          <w:sz w:val="24"/>
          <w:szCs w:val="24"/>
        </w:rPr>
        <w:t>APPENDIX</w:t>
      </w:r>
    </w:p>
    <w:p>
      <w:pPr>
        <w:pStyle w:val="Normal"/>
        <w:spacing w:lineRule="auto" w:line="480" w:before="0" w:after="200"/>
        <w:ind w:firstLine="720"/>
        <w:jc w:val="both"/>
        <w:rPr>
          <w:sz w:val="24"/>
          <w:szCs w:val="24"/>
        </w:rPr>
      </w:pPr>
      <w:r>
        <w:rPr>
          <w:sz w:val="24"/>
          <w:szCs w:val="24"/>
        </w:rPr>
        <w:t>This appendix contains all charts, visualizations, application screenshots, and key code snippets referenced throughout the project report. All analytical charts were generated using Python (matplotlib and seaborn libraries) in the Jupyter Notebook environment. Application screenshots were captured from the Streamlit-based Distribution Analytics Dashboard developed as part of this project.</w:t>
      </w:r>
    </w:p>
    <w:p>
      <w:pPr>
        <w:pStyle w:val="Normal"/>
        <w:spacing w:lineRule="auto" w:line="480"/>
        <w:rPr>
          <w:sz w:val="24"/>
          <w:szCs w:val="24"/>
        </w:rPr>
      </w:pPr>
      <w:r>
        <w:rPr>
          <w:sz w:val="24"/>
          <w:szCs w:val="24"/>
        </w:rPr>
      </w:r>
    </w:p>
    <w:p>
      <w:pPr>
        <w:pStyle w:val="Heading2"/>
        <w:rPr>
          <w:sz w:val="24"/>
          <w:szCs w:val="24"/>
        </w:rPr>
      </w:pPr>
      <w:r>
        <w:rPr>
          <w:sz w:val="24"/>
          <w:szCs w:val="24"/>
        </w:rPr>
      </w:r>
      <w:r>
        <w:br w:type="page"/>
      </w:r>
    </w:p>
    <w:p>
      <w:pPr>
        <w:pStyle w:val="Heading2"/>
        <w:spacing w:before="0" w:after="200"/>
        <w:rPr>
          <w:sz w:val="24"/>
          <w:szCs w:val="24"/>
        </w:rPr>
      </w:pPr>
      <w:bookmarkStart w:id="61" w:name="__RefHeading___Toc2792_4269637869"/>
      <w:bookmarkEnd w:id="61"/>
      <w:r>
        <w:rPr>
          <w:sz w:val="24"/>
          <w:szCs w:val="24"/>
        </w:rPr>
        <w:t>Appendix A — Data Analysis Charts</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mc:AlternateContent>
          <mc:Choice Requires="wps">
            <w:drawing>
              <wp:anchor distT="10160" distB="8890" distL="10160" distR="9525" simplePos="0" relativeHeight="2" behindDoc="0" locked="0" layoutInCell="0" allowOverlap="1" wp14:anchorId="1F6539F5">
                <wp:simplePos x="0" y="0"/>
                <wp:positionH relativeFrom="margin">
                  <wp:align>center</wp:align>
                </wp:positionH>
                <wp:positionV relativeFrom="paragraph">
                  <wp:posOffset>790575</wp:posOffset>
                </wp:positionV>
                <wp:extent cx="5943600" cy="2333625"/>
                <wp:effectExtent l="10160" t="10160" r="9525" b="8890"/>
                <wp:wrapNone/>
                <wp:docPr id="1" name="Rectangle 1"/>
                <a:graphic xmlns:a="http://schemas.openxmlformats.org/drawingml/2006/main">
                  <a:graphicData uri="http://schemas.microsoft.com/office/word/2010/wordprocessingShape">
                    <wps:wsp>
                      <wps:cNvSpPr/>
                      <wps:spPr>
                        <a:xfrm>
                          <a:off x="0" y="0"/>
                          <a:ext cx="5943600" cy="2333520"/>
                        </a:xfrm>
                        <a:prstGeom prst="rect">
                          <a:avLst/>
                        </a:prstGeom>
                        <a:blipFill rotWithShape="0">
                          <a:blip r:embed="rId4"/>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stroked="t" o:allowincell="f" style="position:absolute;margin-left:0pt;margin-top:62.25pt;width:467.95pt;height:183.7pt;mso-wrap-style:none;v-text-anchor:middle;mso-position-horizontal:center;mso-position-horizontal-relative:margin" wp14:anchorId="1F6539F5">
                <v:fill r:id="rId5" o:detectmouseclick="t" type="frame" color2="black"/>
                <v:stroke color="#092a38" weight="19080" joinstyle="miter" endcap="flat"/>
                <w10:wrap type="none"/>
              </v:rect>
            </w:pict>
          </mc:Fallback>
        </mc:AlternateContent>
      </w:r>
      <w:r>
        <w:rPr>
          <w:sz w:val="24"/>
          <w:szCs w:val="24"/>
        </w:rPr>
        <w:t>Chart A.1 presents the monthly sales quantity trend across the full study period from June 2023 to March 2026, including a vertical marker separating the previous and current firm's data.</w:t>
      </w:r>
    </w:p>
    <w:p>
      <w:pPr>
        <w:pStyle w:val="Normal"/>
        <w:spacing w:lineRule="auto" w:line="480" w:before="0" w:after="200"/>
        <w:ind w:firstLine="720"/>
        <w:jc w:val="both"/>
        <w:rPr>
          <w:sz w:val="24"/>
          <w:szCs w:val="24"/>
        </w:rPr>
      </w:pPr>
      <w:r>
        <w:rPr>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sz w:val="24"/>
          <w:szCs w:val="24"/>
        </w:rPr>
      </w:pPr>
      <w:r>
        <w:rPr>
          <w:i/>
          <w:iCs/>
          <w:sz w:val="24"/>
          <w:szCs w:val="24"/>
        </w:rPr>
        <w:t>Figure A.1: Monthly sales quantity trend showing recurring seasonal peaks in December, March, May, and July. Source: Author's analysis of ERP billing data.</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mc:AlternateContent>
          <mc:Choice Requires="wps">
            <w:drawing>
              <wp:anchor distT="10160" distB="8890" distL="10160" distR="9525" simplePos="0" relativeHeight="3" behindDoc="0" locked="0" layoutInCell="0" allowOverlap="1" wp14:anchorId="02B4CC51">
                <wp:simplePos x="0" y="0"/>
                <wp:positionH relativeFrom="margin">
                  <wp:align>center</wp:align>
                </wp:positionH>
                <wp:positionV relativeFrom="paragraph">
                  <wp:posOffset>1071880</wp:posOffset>
                </wp:positionV>
                <wp:extent cx="5943600" cy="2333625"/>
                <wp:effectExtent l="10160" t="10160" r="9525" b="8890"/>
                <wp:wrapNone/>
                <wp:docPr id="2" name="Rectangle 1"/>
                <a:graphic xmlns:a="http://schemas.openxmlformats.org/drawingml/2006/main">
                  <a:graphicData uri="http://schemas.microsoft.com/office/word/2010/wordprocessingShape">
                    <wps:wsp>
                      <wps:cNvSpPr/>
                      <wps:spPr>
                        <a:xfrm>
                          <a:off x="0" y="0"/>
                          <a:ext cx="5943600" cy="2333520"/>
                        </a:xfrm>
                        <a:prstGeom prst="rect">
                          <a:avLst/>
                        </a:prstGeom>
                        <a:blipFill rotWithShape="0">
                          <a:blip r:embed="rId6"/>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stroked="t" o:allowincell="f" style="position:absolute;margin-left:0pt;margin-top:84.4pt;width:467.95pt;height:183.7pt;mso-wrap-style:none;v-text-anchor:middle;mso-position-horizontal:center;mso-position-horizontal-relative:margin" wp14:anchorId="02B4CC51">
                <v:fill r:id="rId7" o:detectmouseclick="t" type="frame" color2="black"/>
                <v:stroke color="#092a38" weight="19080" joinstyle="miter" endcap="flat"/>
                <w10:wrap type="none"/>
              </v:rect>
            </w:pict>
          </mc:Fallback>
        </mc:AlternateContent>
      </w:r>
      <w:r>
        <w:rPr>
          <w:sz w:val="24"/>
          <w:szCs w:val="24"/>
        </w:rPr>
        <w:t xml:space="preserve">Chart A.2 compares financial year-wise sales performance across three metrics — total units sold, total sales value, and number of invoices raised — for FY 2023-24, FY 2024-25, and FY 2025-26. </w:t>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sz w:val="24"/>
          <w:szCs w:val="24"/>
        </w:rPr>
      </w:pPr>
      <w:r>
        <w:rPr>
          <w:i/>
          <w:iCs/>
          <w:sz w:val="24"/>
          <w:szCs w:val="24"/>
        </w:rPr>
        <w:t>Figure A.2: Year-on-year growth in sales volume (+17.8%), value (+28.3%), and invoice frequency across the three financial years. Source: Author's analysis.</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mc:AlternateContent>
          <mc:Choice Requires="wps">
            <w:drawing>
              <wp:anchor distT="10160" distB="8890" distL="10160" distR="9525" simplePos="0" relativeHeight="4" behindDoc="0" locked="0" layoutInCell="0" allowOverlap="1" wp14:anchorId="431BE909">
                <wp:simplePos x="0" y="0"/>
                <wp:positionH relativeFrom="margin">
                  <wp:align>center</wp:align>
                </wp:positionH>
                <wp:positionV relativeFrom="paragraph">
                  <wp:posOffset>626110</wp:posOffset>
                </wp:positionV>
                <wp:extent cx="5943600" cy="2333625"/>
                <wp:effectExtent l="10160" t="10160" r="9525" b="8890"/>
                <wp:wrapNone/>
                <wp:docPr id="3" name="Rectangle 1"/>
                <a:graphic xmlns:a="http://schemas.openxmlformats.org/drawingml/2006/main">
                  <a:graphicData uri="http://schemas.microsoft.com/office/word/2010/wordprocessingShape">
                    <wps:wsp>
                      <wps:cNvSpPr/>
                      <wps:spPr>
                        <a:xfrm>
                          <a:off x="0" y="0"/>
                          <a:ext cx="5943600" cy="2333520"/>
                        </a:xfrm>
                        <a:prstGeom prst="rect">
                          <a:avLst/>
                        </a:prstGeom>
                        <a:blipFill rotWithShape="0">
                          <a:blip r:embed="rId8"/>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stroked="t" o:allowincell="f" style="position:absolute;margin-left:0pt;margin-top:49.3pt;width:467.95pt;height:183.7pt;mso-wrap-style:none;v-text-anchor:middle;mso-position-horizontal:center;mso-position-horizontal-relative:margin" wp14:anchorId="431BE909">
                <v:fill r:id="rId9" o:detectmouseclick="t" type="frame" color2="black"/>
                <v:stroke color="#092a38" weight="19080" joinstyle="miter" endcap="flat"/>
                <w10:wrap type="none"/>
              </v:rect>
            </w:pict>
          </mc:Fallback>
        </mc:AlternateContent>
      </w:r>
      <w:r>
        <w:rPr>
          <w:sz w:val="24"/>
          <w:szCs w:val="24"/>
        </w:rPr>
        <w:t xml:space="preserve">Chart A.3 presents the top 20 SKUs by total sales quantity over the study period, color-coded by rank tier. </w:t>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sz w:val="24"/>
          <w:szCs w:val="24"/>
        </w:rPr>
      </w:pPr>
      <w:r>
        <w:rPr>
          <w:i/>
          <w:iCs/>
          <w:sz w:val="24"/>
          <w:szCs w:val="24"/>
        </w:rPr>
        <w:t>Figure A.3: Top 20 individual SKUs ranked by cumulative sales quantity. D143-style variants dominate the upper ranks. Source: Author's analysis.</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r>
      <w:r>
        <w:br w:type="page"/>
      </w:r>
    </w:p>
    <w:p>
      <w:pPr>
        <w:pStyle w:val="Normal"/>
        <w:spacing w:lineRule="auto" w:line="480" w:before="0" w:after="200"/>
        <w:ind w:firstLine="720"/>
        <w:jc w:val="both"/>
        <w:rPr>
          <w:sz w:val="24"/>
          <w:szCs w:val="24"/>
        </w:rPr>
      </w:pPr>
      <w:r>
        <w:rPr>
          <w:sz w:val="24"/>
          <w:szCs w:val="24"/>
        </w:rPr>
        <w:t>Chart A.4 presents the top 10 style codes by total sales quantity, with percentage labels showing each style's share of total volume.</w:t>
      </w:r>
    </w:p>
    <w:p>
      <w:pPr>
        <w:pStyle w:val="Normal"/>
        <w:spacing w:lineRule="auto" w:line="480" w:before="0" w:after="200"/>
        <w:ind w:firstLine="720"/>
        <w:jc w:val="both"/>
        <w:rPr>
          <w:sz w:val="24"/>
          <w:szCs w:val="24"/>
        </w:rPr>
      </w:pPr>
      <w:r>
        <w:rPr>
          <w:sz w:val="24"/>
          <w:szCs w:val="24"/>
        </w:rPr>
        <mc:AlternateContent>
          <mc:Choice Requires="wps">
            <w:drawing>
              <wp:anchor distT="10160" distB="8890" distL="10160" distR="9525" simplePos="0" relativeHeight="5" behindDoc="0" locked="0" layoutInCell="0" allowOverlap="1" wp14:anchorId="11AC57DD">
                <wp:simplePos x="0" y="0"/>
                <wp:positionH relativeFrom="margin">
                  <wp:align>center</wp:align>
                </wp:positionH>
                <wp:positionV relativeFrom="paragraph">
                  <wp:posOffset>-635</wp:posOffset>
                </wp:positionV>
                <wp:extent cx="5943600" cy="2333625"/>
                <wp:effectExtent l="10160" t="10160" r="9525" b="8890"/>
                <wp:wrapNone/>
                <wp:docPr id="4" name="Rectangle 1"/>
                <a:graphic xmlns:a="http://schemas.openxmlformats.org/drawingml/2006/main">
                  <a:graphicData uri="http://schemas.microsoft.com/office/word/2010/wordprocessingShape">
                    <wps:wsp>
                      <wps:cNvSpPr/>
                      <wps:spPr>
                        <a:xfrm>
                          <a:off x="0" y="0"/>
                          <a:ext cx="5943600" cy="2333520"/>
                        </a:xfrm>
                        <a:prstGeom prst="rect">
                          <a:avLst/>
                        </a:prstGeom>
                        <a:blipFill rotWithShape="0">
                          <a:blip r:embed="rId10"/>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stroked="t" o:allowincell="f" style="position:absolute;margin-left:0pt;margin-top:-0.05pt;width:467.95pt;height:183.7pt;mso-wrap-style:none;v-text-anchor:middle;mso-position-horizontal:center;mso-position-horizontal-relative:margin" wp14:anchorId="11AC57DD">
                <v:fill r:id="rId11" o:detectmouseclick="t" type="frame" color2="black"/>
                <v:stroke color="#092a38" weight="19080" joinstyle="miter" endcap="flat"/>
                <w10:wrap type="none"/>
              </v:rect>
            </w:pict>
          </mc:Fallback>
        </mc:AlternateContent>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sz w:val="24"/>
          <w:szCs w:val="24"/>
        </w:rPr>
      </w:pPr>
      <w:r>
        <w:rPr>
          <w:i/>
          <w:iCs/>
          <w:sz w:val="24"/>
          <w:szCs w:val="24"/>
        </w:rPr>
        <w:t>Figure A.4: Style D143 accounts for 26.4% of total sales volume. Top 10 styles collectively represent 72.0% of all units sold. Source: Author's analysis.</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Chart A.5 presents the product category breakdown as a pie chart and horizontal bar chart, showing the relative volume and value contribution of each product category.</w:t>
      </w:r>
    </w:p>
    <w:p>
      <w:pPr>
        <w:pStyle w:val="Normal"/>
        <w:spacing w:lineRule="auto" w:line="480" w:before="0" w:after="200"/>
        <w:ind w:firstLine="720"/>
        <w:jc w:val="both"/>
        <w:rPr>
          <w:sz w:val="24"/>
          <w:szCs w:val="24"/>
        </w:rPr>
      </w:pPr>
      <w:r>
        <w:rPr>
          <w:sz w:val="24"/>
          <w:szCs w:val="24"/>
        </w:rPr>
        <mc:AlternateContent>
          <mc:Choice Requires="wps">
            <w:drawing>
              <wp:anchor distT="10160" distB="8890" distL="10160" distR="9525" simplePos="0" relativeHeight="6" behindDoc="0" locked="0" layoutInCell="0" allowOverlap="1" wp14:anchorId="6280057C">
                <wp:simplePos x="0" y="0"/>
                <wp:positionH relativeFrom="margin">
                  <wp:align>center</wp:align>
                </wp:positionH>
                <wp:positionV relativeFrom="paragraph">
                  <wp:posOffset>635</wp:posOffset>
                </wp:positionV>
                <wp:extent cx="5943600" cy="2333625"/>
                <wp:effectExtent l="10160" t="10160" r="9525" b="8890"/>
                <wp:wrapNone/>
                <wp:docPr id="5" name="Rectangle 1"/>
                <a:graphic xmlns:a="http://schemas.openxmlformats.org/drawingml/2006/main">
                  <a:graphicData uri="http://schemas.microsoft.com/office/word/2010/wordprocessingShape">
                    <wps:wsp>
                      <wps:cNvSpPr/>
                      <wps:spPr>
                        <a:xfrm>
                          <a:off x="0" y="0"/>
                          <a:ext cx="5943600" cy="2333520"/>
                        </a:xfrm>
                        <a:prstGeom prst="rect">
                          <a:avLst/>
                        </a:prstGeom>
                        <a:blipFill rotWithShape="0">
                          <a:blip r:embed="rId12"/>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stroked="t" o:allowincell="f" style="position:absolute;margin-left:0pt;margin-top:0.05pt;width:467.95pt;height:183.7pt;mso-wrap-style:none;v-text-anchor:middle;mso-position-horizontal:center;mso-position-horizontal-relative:margin" wp14:anchorId="6280057C">
                <v:fill r:id="rId13" o:detectmouseclick="t" type="frame" color2="black"/>
                <v:stroke color="#092a38" weight="19080" joinstyle="miter" endcap="flat"/>
                <w10:wrap type="none"/>
              </v:rect>
            </w:pict>
          </mc:Fallback>
        </mc:AlternateContent>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sz w:val="24"/>
          <w:szCs w:val="24"/>
        </w:rPr>
      </w:pPr>
      <w:r>
        <w:rPr>
          <w:i/>
          <w:iCs/>
          <w:sz w:val="24"/>
          <w:szCs w:val="24"/>
        </w:rPr>
        <w:t>Figure A.5: CORE category dominates at 70.7% of volume. FASHION category contributes a disproportionately high 17.1% of sales value relative to its 10.0% volume share. Source: Author's analysis.</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Chart A.6 presents the top 15 retail accounts by total purchase quantity, color-coded by rank tier.</w:t>
      </w:r>
    </w:p>
    <w:p>
      <w:pPr>
        <w:pStyle w:val="Normal"/>
        <w:spacing w:lineRule="auto" w:line="480" w:before="0" w:after="200"/>
        <w:ind w:firstLine="720"/>
        <w:jc w:val="both"/>
        <w:rPr>
          <w:sz w:val="24"/>
          <w:szCs w:val="24"/>
        </w:rPr>
      </w:pPr>
      <w:r>
        <w:rPr>
          <w:sz w:val="24"/>
          <w:szCs w:val="24"/>
        </w:rPr>
        <mc:AlternateContent>
          <mc:Choice Requires="wps">
            <w:drawing>
              <wp:anchor distT="10160" distB="8890" distL="10160" distR="9525" simplePos="0" relativeHeight="7" behindDoc="0" locked="0" layoutInCell="0" allowOverlap="1" wp14:anchorId="76D8AD9F">
                <wp:simplePos x="0" y="0"/>
                <wp:positionH relativeFrom="margin">
                  <wp:align>center</wp:align>
                </wp:positionH>
                <wp:positionV relativeFrom="paragraph">
                  <wp:posOffset>-635</wp:posOffset>
                </wp:positionV>
                <wp:extent cx="5943600" cy="2333625"/>
                <wp:effectExtent l="10160" t="10160" r="9525" b="8890"/>
                <wp:wrapNone/>
                <wp:docPr id="6" name="Rectangle 1"/>
                <a:graphic xmlns:a="http://schemas.openxmlformats.org/drawingml/2006/main">
                  <a:graphicData uri="http://schemas.microsoft.com/office/word/2010/wordprocessingShape">
                    <wps:wsp>
                      <wps:cNvSpPr/>
                      <wps:spPr>
                        <a:xfrm>
                          <a:off x="0" y="0"/>
                          <a:ext cx="5943600" cy="2333520"/>
                        </a:xfrm>
                        <a:prstGeom prst="rect">
                          <a:avLst/>
                        </a:prstGeom>
                        <a:blipFill rotWithShape="0">
                          <a:blip r:embed="rId14"/>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stroked="t" o:allowincell="f" style="position:absolute;margin-left:0pt;margin-top:-0.05pt;width:467.95pt;height:183.7pt;mso-wrap-style:none;v-text-anchor:middle;mso-position-horizontal:center;mso-position-horizontal-relative:margin" wp14:anchorId="76D8AD9F">
                <v:fill r:id="rId15" o:detectmouseclick="t" type="frame" color2="black"/>
                <v:stroke color="#092a38" weight="19080" joinstyle="miter" endcap="flat"/>
                <w10:wrap type="none"/>
              </v:rect>
            </w:pict>
          </mc:Fallback>
        </mc:AlternateContent>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sz w:val="24"/>
          <w:szCs w:val="24"/>
        </w:rPr>
      </w:pPr>
      <w:r>
        <w:rPr>
          <w:i/>
          <w:iCs/>
          <w:sz w:val="24"/>
          <w:szCs w:val="24"/>
        </w:rPr>
        <w:t>Figure A.6: RETAILER_026 alone accounts for 38.1% of total volume. Top 2 retailers combined account for 54.6% of all units sold. Source: Author's analysis.</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Chart A.7 presents the monthly sales quantity and value for the current firm (November 2023 to March 2026) as a dual-axis combination chart.</w:t>
      </w:r>
    </w:p>
    <w:p>
      <w:pPr>
        <w:pStyle w:val="Normal"/>
        <w:spacing w:lineRule="auto" w:line="480" w:before="0" w:after="200"/>
        <w:ind w:firstLine="720"/>
        <w:jc w:val="both"/>
        <w:rPr>
          <w:sz w:val="24"/>
          <w:szCs w:val="24"/>
        </w:rPr>
      </w:pPr>
      <w:r>
        <w:rPr>
          <w:sz w:val="24"/>
          <w:szCs w:val="24"/>
        </w:rPr>
        <mc:AlternateContent>
          <mc:Choice Requires="wps">
            <w:drawing>
              <wp:anchor distT="10160" distB="8890" distL="10160" distR="9525" simplePos="0" relativeHeight="8" behindDoc="0" locked="0" layoutInCell="0" allowOverlap="1" wp14:anchorId="4AB5FC22">
                <wp:simplePos x="0" y="0"/>
                <wp:positionH relativeFrom="margin">
                  <wp:align>center</wp:align>
                </wp:positionH>
                <wp:positionV relativeFrom="paragraph">
                  <wp:posOffset>635</wp:posOffset>
                </wp:positionV>
                <wp:extent cx="5943600" cy="2333625"/>
                <wp:effectExtent l="10160" t="10160" r="9525" b="8890"/>
                <wp:wrapNone/>
                <wp:docPr id="7" name="Rectangle 1"/>
                <a:graphic xmlns:a="http://schemas.openxmlformats.org/drawingml/2006/main">
                  <a:graphicData uri="http://schemas.microsoft.com/office/word/2010/wordprocessingShape">
                    <wps:wsp>
                      <wps:cNvSpPr/>
                      <wps:spPr>
                        <a:xfrm>
                          <a:off x="0" y="0"/>
                          <a:ext cx="5943600" cy="2333520"/>
                        </a:xfrm>
                        <a:prstGeom prst="rect">
                          <a:avLst/>
                        </a:prstGeom>
                        <a:blipFill rotWithShape="0">
                          <a:blip r:embed="rId16"/>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stroked="t" o:allowincell="f" style="position:absolute;margin-left:0pt;margin-top:0.05pt;width:467.95pt;height:183.7pt;mso-wrap-style:none;v-text-anchor:middle;mso-position-horizontal:center;mso-position-horizontal-relative:margin" wp14:anchorId="4AB5FC22">
                <v:fill r:id="rId17" o:detectmouseclick="t" type="frame" color2="black"/>
                <v:stroke color="#092a38" weight="19080" joinstyle="miter" endcap="flat"/>
                <w10:wrap type="none"/>
              </v:rect>
            </w:pict>
          </mc:Fallback>
        </mc:AlternateContent>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sz w:val="24"/>
          <w:szCs w:val="24"/>
        </w:rPr>
      </w:pPr>
      <w:r>
        <w:rPr>
          <w:i/>
          <w:iCs/>
          <w:sz w:val="24"/>
          <w:szCs w:val="24"/>
        </w:rPr>
        <w:t>Figure A.7: Dual-axis chart showing units sold (bars) and sales value in lakhs (line). Clear seasonal peaks visible in December, May, July, and March. Source: Author's analysis.</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Chart A.8 presents the monthly purchase vs sales comparison, showing periods of overstock and understock over the study period.</w:t>
      </w:r>
    </w:p>
    <w:p>
      <w:pPr>
        <w:pStyle w:val="Normal"/>
        <w:spacing w:lineRule="auto" w:line="480" w:before="0" w:after="200"/>
        <w:ind w:firstLine="720"/>
        <w:jc w:val="both"/>
        <w:rPr>
          <w:sz w:val="24"/>
          <w:szCs w:val="24"/>
        </w:rPr>
      </w:pPr>
      <w:r>
        <w:rPr>
          <w:sz w:val="24"/>
          <w:szCs w:val="24"/>
        </w:rPr>
        <mc:AlternateContent>
          <mc:Choice Requires="wps">
            <w:drawing>
              <wp:anchor distT="10160" distB="8890" distL="10160" distR="9525" simplePos="0" relativeHeight="9" behindDoc="0" locked="0" layoutInCell="0" allowOverlap="1" wp14:anchorId="73AF7015">
                <wp:simplePos x="0" y="0"/>
                <wp:positionH relativeFrom="margin">
                  <wp:align>center</wp:align>
                </wp:positionH>
                <wp:positionV relativeFrom="paragraph">
                  <wp:posOffset>-635</wp:posOffset>
                </wp:positionV>
                <wp:extent cx="5943600" cy="2333625"/>
                <wp:effectExtent l="10160" t="10160" r="9525" b="8890"/>
                <wp:wrapNone/>
                <wp:docPr id="8" name="Rectangle 1"/>
                <a:graphic xmlns:a="http://schemas.openxmlformats.org/drawingml/2006/main">
                  <a:graphicData uri="http://schemas.microsoft.com/office/word/2010/wordprocessingShape">
                    <wps:wsp>
                      <wps:cNvSpPr/>
                      <wps:spPr>
                        <a:xfrm>
                          <a:off x="0" y="0"/>
                          <a:ext cx="5943600" cy="2333520"/>
                        </a:xfrm>
                        <a:prstGeom prst="rect">
                          <a:avLst/>
                        </a:prstGeom>
                        <a:blipFill rotWithShape="0">
                          <a:blip r:embed="rId18"/>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stroked="t" o:allowincell="f" style="position:absolute;margin-left:0pt;margin-top:-0.05pt;width:467.95pt;height:183.7pt;mso-wrap-style:none;v-text-anchor:middle;mso-position-horizontal:center;mso-position-horizontal-relative:margin" wp14:anchorId="73AF7015">
                <v:fill r:id="rId19" o:detectmouseclick="t" type="frame" color2="black"/>
                <v:stroke color="#092a38" weight="19080" joinstyle="miter" endcap="flat"/>
                <w10:wrap type="none"/>
              </v:rect>
            </w:pict>
          </mc:Fallback>
        </mc:AlternateContent>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sz w:val="24"/>
          <w:szCs w:val="24"/>
        </w:rPr>
      </w:pPr>
      <w:r>
        <w:rPr>
          <w:i/>
          <w:iCs/>
          <w:sz w:val="24"/>
          <w:szCs w:val="24"/>
        </w:rPr>
        <w:t>Figure A.8: Grouped bar chart comparing units purchased and units sold per month. August 2025 understock event (-439 units) is the most severe mismatch. Source: Author's analysis.</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r>
      <w:r>
        <w:br w:type="page"/>
      </w:r>
    </w:p>
    <w:p>
      <w:pPr>
        <w:pStyle w:val="Normal"/>
        <w:spacing w:lineRule="auto" w:line="480" w:before="0" w:after="200"/>
        <w:ind w:firstLine="720"/>
        <w:jc w:val="both"/>
        <w:rPr>
          <w:sz w:val="24"/>
          <w:szCs w:val="24"/>
        </w:rPr>
      </w:pPr>
      <w:r>
        <w:rPr>
          <w:sz w:val="24"/>
          <w:szCs w:val="24"/>
        </w:rPr>
        <w:t>Chart A.9 presents the size distribution analysis showing the top 25 sizes by sales quantity, differentiated between cup sizes and standard sizes.</w:t>
      </w:r>
    </w:p>
    <w:p>
      <w:pPr>
        <w:pStyle w:val="Normal"/>
        <w:spacing w:lineRule="auto" w:line="480" w:before="0" w:after="200"/>
        <w:ind w:firstLine="720"/>
        <w:jc w:val="both"/>
        <w:rPr>
          <w:sz w:val="24"/>
          <w:szCs w:val="24"/>
        </w:rPr>
      </w:pPr>
      <w:r>
        <w:rPr>
          <w:sz w:val="24"/>
          <w:szCs w:val="24"/>
        </w:rPr>
        <mc:AlternateContent>
          <mc:Choice Requires="wps">
            <w:drawing>
              <wp:anchor distT="10160" distB="8890" distL="10160" distR="9525" simplePos="0" relativeHeight="10" behindDoc="0" locked="0" layoutInCell="0" allowOverlap="1" wp14:anchorId="029BA446">
                <wp:simplePos x="0" y="0"/>
                <wp:positionH relativeFrom="margin">
                  <wp:align>center</wp:align>
                </wp:positionH>
                <wp:positionV relativeFrom="paragraph">
                  <wp:posOffset>635</wp:posOffset>
                </wp:positionV>
                <wp:extent cx="5943600" cy="2333625"/>
                <wp:effectExtent l="10160" t="10160" r="9525" b="8890"/>
                <wp:wrapNone/>
                <wp:docPr id="9" name="Rectangle 1"/>
                <a:graphic xmlns:a="http://schemas.openxmlformats.org/drawingml/2006/main">
                  <a:graphicData uri="http://schemas.microsoft.com/office/word/2010/wordprocessingShape">
                    <wps:wsp>
                      <wps:cNvSpPr/>
                      <wps:spPr>
                        <a:xfrm>
                          <a:off x="0" y="0"/>
                          <a:ext cx="5943600" cy="2333520"/>
                        </a:xfrm>
                        <a:prstGeom prst="rect">
                          <a:avLst/>
                        </a:prstGeom>
                        <a:blipFill rotWithShape="0">
                          <a:blip r:embed="rId20"/>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stroked="t" o:allowincell="f" style="position:absolute;margin-left:0pt;margin-top:0.05pt;width:467.95pt;height:183.7pt;mso-wrap-style:none;v-text-anchor:middle;mso-position-horizontal:center;mso-position-horizontal-relative:margin" wp14:anchorId="029BA446">
                <v:fill r:id="rId21" o:detectmouseclick="t" type="frame" color2="black"/>
                <v:stroke color="#092a38" weight="19080" joinstyle="miter" endcap="flat"/>
                <w10:wrap type="none"/>
              </v:rect>
            </w:pict>
          </mc:Fallback>
        </mc:AlternateContent>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t>Figure A.9: Cup sizes account for 65.8% of total sales volume. 36C, 36B, and 34B are the top cup sizes. M and L lead standard sizes. Source: Author's analysis.</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Chart A.10 presents the seasonal sales heatmap showing units sold by financial year and month, arranged in financial year order (April to March).</w:t>
      </w:r>
    </w:p>
    <w:p>
      <w:pPr>
        <w:pStyle w:val="Normal"/>
        <w:spacing w:lineRule="auto" w:line="480" w:before="0" w:after="200"/>
        <w:ind w:firstLine="720"/>
        <w:jc w:val="both"/>
        <w:rPr>
          <w:sz w:val="24"/>
          <w:szCs w:val="24"/>
        </w:rPr>
      </w:pPr>
      <w:r>
        <w:rPr>
          <w:sz w:val="24"/>
          <w:szCs w:val="24"/>
        </w:rPr>
        <mc:AlternateContent>
          <mc:Choice Requires="wps">
            <w:drawing>
              <wp:anchor distT="10160" distB="8890" distL="10160" distR="9525" simplePos="0" relativeHeight="11" behindDoc="0" locked="0" layoutInCell="0" allowOverlap="1" wp14:anchorId="68B97C3B">
                <wp:simplePos x="0" y="0"/>
                <wp:positionH relativeFrom="margin">
                  <wp:align>center</wp:align>
                </wp:positionH>
                <wp:positionV relativeFrom="paragraph">
                  <wp:posOffset>-635</wp:posOffset>
                </wp:positionV>
                <wp:extent cx="5943600" cy="2333625"/>
                <wp:effectExtent l="10160" t="10160" r="9525" b="8890"/>
                <wp:wrapNone/>
                <wp:docPr id="10" name="Rectangle 1"/>
                <a:graphic xmlns:a="http://schemas.openxmlformats.org/drawingml/2006/main">
                  <a:graphicData uri="http://schemas.microsoft.com/office/word/2010/wordprocessingShape">
                    <wps:wsp>
                      <wps:cNvSpPr/>
                      <wps:spPr>
                        <a:xfrm>
                          <a:off x="0" y="0"/>
                          <a:ext cx="5943600" cy="2333520"/>
                        </a:xfrm>
                        <a:prstGeom prst="rect">
                          <a:avLst/>
                        </a:prstGeom>
                        <a:blipFill rotWithShape="0">
                          <a:blip r:embed="rId22"/>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stroked="t" o:allowincell="f" style="position:absolute;margin-left:0pt;margin-top:-0.05pt;width:467.95pt;height:183.7pt;mso-wrap-style:none;v-text-anchor:middle;mso-position-horizontal:center;mso-position-horizontal-relative:margin" wp14:anchorId="68B97C3B">
                <v:fill r:id="rId23" o:detectmouseclick="t" type="frame" color2="black"/>
                <v:stroke color="#092a38" weight="19080" joinstyle="miter" endcap="flat"/>
                <w10:wrap type="none"/>
              </v:rect>
            </w:pict>
          </mc:Fallback>
        </mc:AlternateContent>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sz w:val="24"/>
          <w:szCs w:val="24"/>
        </w:rPr>
      </w:pPr>
      <w:r>
        <w:rPr>
          <w:i/>
          <w:iCs/>
          <w:sz w:val="24"/>
          <w:szCs w:val="24"/>
        </w:rPr>
        <w:t>Figure A.10: Heatmap confirming December and March as consistently peak months across all three financial years. July and May represent mid-year peaks driven by seasonal demand. Source: Author's analysis.</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Chart A.11 presents the full demand forecast chart for style D143, showing actual sales during the training period, actual vs predicted during the test period, and the three-month forward forecast for April to June 2026.</w:t>
      </w:r>
    </w:p>
    <w:p>
      <w:pPr>
        <w:pStyle w:val="Normal"/>
        <w:spacing w:lineRule="auto" w:line="480" w:before="0" w:after="200"/>
        <w:ind w:firstLine="720"/>
        <w:jc w:val="both"/>
        <w:rPr>
          <w:sz w:val="24"/>
          <w:szCs w:val="24"/>
        </w:rPr>
      </w:pPr>
      <w:r>
        <w:rPr>
          <w:sz w:val="24"/>
          <w:szCs w:val="24"/>
        </w:rPr>
        <mc:AlternateContent>
          <mc:Choice Requires="wps">
            <w:drawing>
              <wp:anchor distT="10160" distB="8890" distL="10160" distR="9525" simplePos="0" relativeHeight="12" behindDoc="0" locked="0" layoutInCell="0" allowOverlap="1" wp14:anchorId="3C43D3F4">
                <wp:simplePos x="0" y="0"/>
                <wp:positionH relativeFrom="margin">
                  <wp:align>center</wp:align>
                </wp:positionH>
                <wp:positionV relativeFrom="paragraph">
                  <wp:posOffset>635</wp:posOffset>
                </wp:positionV>
                <wp:extent cx="5943600" cy="2333625"/>
                <wp:effectExtent l="10160" t="10160" r="9525" b="8890"/>
                <wp:wrapNone/>
                <wp:docPr id="11" name="Rectangle 1"/>
                <a:graphic xmlns:a="http://schemas.openxmlformats.org/drawingml/2006/main">
                  <a:graphicData uri="http://schemas.microsoft.com/office/word/2010/wordprocessingShape">
                    <wps:wsp>
                      <wps:cNvSpPr/>
                      <wps:spPr>
                        <a:xfrm>
                          <a:off x="0" y="0"/>
                          <a:ext cx="5943600" cy="2333520"/>
                        </a:xfrm>
                        <a:prstGeom prst="rect">
                          <a:avLst/>
                        </a:prstGeom>
                        <a:blipFill rotWithShape="0">
                          <a:blip r:embed="rId24"/>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stroked="t" o:allowincell="f" style="position:absolute;margin-left:0pt;margin-top:0.05pt;width:467.95pt;height:183.7pt;mso-wrap-style:none;v-text-anchor:middle;mso-position-horizontal:center;mso-position-horizontal-relative:margin" wp14:anchorId="3C43D3F4">
                <v:fill r:id="rId25" o:detectmouseclick="t" type="frame" color2="black"/>
                <v:stroke color="#092a38" weight="19080" joinstyle="miter" endcap="flat"/>
                <w10:wrap type="none"/>
              </v:rect>
            </w:pict>
          </mc:Fallback>
        </mc:AlternateContent>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sz w:val="24"/>
          <w:szCs w:val="24"/>
        </w:rPr>
      </w:pPr>
      <w:r>
        <w:rPr>
          <w:i/>
          <w:iCs/>
          <w:sz w:val="24"/>
          <w:szCs w:val="24"/>
        </w:rPr>
        <w:t>Figure A.11: Linear Regression and Moving Average model outputs overlaid on actual sales data. Forward forecast projects 226–239 units per month for April–June 2026. Source: Author's analysis.</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Chart A.12 presents the model evaluation comparison for the test period (December 2025 to March 2026), showing actual vs predicted quantities for both models alongside the error summary table.</w:t>
      </w:r>
    </w:p>
    <w:p>
      <w:pPr>
        <w:pStyle w:val="Normal"/>
        <w:spacing w:lineRule="auto" w:line="480" w:before="0" w:after="200"/>
        <w:ind w:firstLine="720"/>
        <w:jc w:val="both"/>
        <w:rPr>
          <w:sz w:val="24"/>
          <w:szCs w:val="24"/>
        </w:rPr>
      </w:pPr>
      <w:r>
        <w:rPr>
          <w:sz w:val="24"/>
          <w:szCs w:val="24"/>
        </w:rPr>
        <mc:AlternateContent>
          <mc:Choice Requires="wps">
            <w:drawing>
              <wp:anchor distT="10160" distB="8890" distL="10160" distR="9525" simplePos="0" relativeHeight="13" behindDoc="0" locked="0" layoutInCell="0" allowOverlap="1" wp14:anchorId="24A7BBE6">
                <wp:simplePos x="0" y="0"/>
                <wp:positionH relativeFrom="margin">
                  <wp:align>center</wp:align>
                </wp:positionH>
                <wp:positionV relativeFrom="paragraph">
                  <wp:posOffset>-635</wp:posOffset>
                </wp:positionV>
                <wp:extent cx="5943600" cy="2333625"/>
                <wp:effectExtent l="10160" t="10160" r="9525" b="8890"/>
                <wp:wrapNone/>
                <wp:docPr id="12" name="Rectangle 1"/>
                <a:graphic xmlns:a="http://schemas.openxmlformats.org/drawingml/2006/main">
                  <a:graphicData uri="http://schemas.microsoft.com/office/word/2010/wordprocessingShape">
                    <wps:wsp>
                      <wps:cNvSpPr/>
                      <wps:spPr>
                        <a:xfrm>
                          <a:off x="0" y="0"/>
                          <a:ext cx="5943600" cy="2333520"/>
                        </a:xfrm>
                        <a:prstGeom prst="rect">
                          <a:avLst/>
                        </a:prstGeom>
                        <a:blipFill rotWithShape="0">
                          <a:blip r:embed="rId26"/>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stroked="t" o:allowincell="f" style="position:absolute;margin-left:0pt;margin-top:-0.05pt;width:467.95pt;height:183.7pt;mso-wrap-style:none;v-text-anchor:middle;mso-position-horizontal:center;mso-position-horizontal-relative:margin" wp14:anchorId="24A7BBE6">
                <v:fill r:id="rId27" o:detectmouseclick="t" type="frame" color2="black"/>
                <v:stroke color="#092a38" weight="19080" joinstyle="miter" endcap="flat"/>
                <w10:wrap type="none"/>
              </v:rect>
            </w:pict>
          </mc:Fallback>
        </mc:AlternateContent>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sz w:val="24"/>
          <w:szCs w:val="24"/>
        </w:rPr>
      </w:pPr>
      <w:r>
        <w:rPr>
          <w:i/>
          <w:iCs/>
          <w:sz w:val="24"/>
          <w:szCs w:val="24"/>
        </w:rPr>
        <w:t>Figure A.12: Linear Regression outperforms Moving Average on all metrics. MAE = 134.8 units (LR) vs 145.0 units (MA3). High MAPE driven by December 2025 incentive-driven spike. Source: Author's analysis.</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Chart A.13 presents the inventory stock analysis, showing the D143 style stock level over the snapshot period and the top 20 SKUs by current stock as of March 31, 2026.</w:t>
      </w:r>
    </w:p>
    <w:p>
      <w:pPr>
        <w:pStyle w:val="Normal"/>
        <w:spacing w:lineRule="auto" w:line="480" w:before="0" w:after="200"/>
        <w:ind w:firstLine="720"/>
        <w:jc w:val="both"/>
        <w:rPr>
          <w:sz w:val="24"/>
          <w:szCs w:val="24"/>
        </w:rPr>
      </w:pPr>
      <w:r>
        <w:rPr>
          <w:sz w:val="24"/>
          <w:szCs w:val="24"/>
        </w:rPr>
        <mc:AlternateContent>
          <mc:Choice Requires="wps">
            <w:drawing>
              <wp:anchor distT="10160" distB="8890" distL="10160" distR="9525" simplePos="0" relativeHeight="14" behindDoc="0" locked="0" layoutInCell="0" allowOverlap="1" wp14:anchorId="6B96EB78">
                <wp:simplePos x="0" y="0"/>
                <wp:positionH relativeFrom="margin">
                  <wp:align>center</wp:align>
                </wp:positionH>
                <wp:positionV relativeFrom="paragraph">
                  <wp:posOffset>635</wp:posOffset>
                </wp:positionV>
                <wp:extent cx="5943600" cy="2333625"/>
                <wp:effectExtent l="10160" t="10160" r="9525" b="8890"/>
                <wp:wrapNone/>
                <wp:docPr id="13" name="Rectangle 1"/>
                <a:graphic xmlns:a="http://schemas.openxmlformats.org/drawingml/2006/main">
                  <a:graphicData uri="http://schemas.microsoft.com/office/word/2010/wordprocessingShape">
                    <wps:wsp>
                      <wps:cNvSpPr/>
                      <wps:spPr>
                        <a:xfrm>
                          <a:off x="0" y="0"/>
                          <a:ext cx="5943600" cy="2333520"/>
                        </a:xfrm>
                        <a:prstGeom prst="rect">
                          <a:avLst/>
                        </a:prstGeom>
                        <a:blipFill rotWithShape="0">
                          <a:blip r:embed="rId28"/>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stroked="t" o:allowincell="f" style="position:absolute;margin-left:0pt;margin-top:0.05pt;width:467.95pt;height:183.7pt;mso-wrap-style:none;v-text-anchor:middle;mso-position-horizontal:center;mso-position-horizontal-relative:margin" wp14:anchorId="6B96EB78">
                <v:fill r:id="rId29" o:detectmouseclick="t" type="frame" color2="black"/>
                <v:stroke color="#092a38" weight="19080" joinstyle="miter" endcap="flat"/>
                <w10:wrap type="none"/>
              </v:rect>
            </w:pict>
          </mc:Fallback>
        </mc:AlternateContent>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sz w:val="24"/>
          <w:szCs w:val="24"/>
        </w:rPr>
      </w:pPr>
      <w:r>
        <w:rPr>
          <w:i/>
          <w:iCs/>
          <w:sz w:val="24"/>
          <w:szCs w:val="24"/>
        </w:rPr>
        <w:t>Figure A.13: D143 stock crashed to near-zero in January 2026 following the December 2025 bulk purchase event, confirming the stockout hypothesis. Source: Author's analysis.</w:t>
      </w:r>
    </w:p>
    <w:p>
      <w:pPr>
        <w:pStyle w:val="Normal"/>
        <w:spacing w:lineRule="auto" w:line="480"/>
        <w:rPr>
          <w:sz w:val="24"/>
          <w:szCs w:val="24"/>
        </w:rPr>
      </w:pPr>
      <w:r>
        <w:rPr>
          <w:sz w:val="24"/>
          <w:szCs w:val="24"/>
        </w:rPr>
      </w:r>
    </w:p>
    <w:p>
      <w:pPr>
        <w:pStyle w:val="Heading2"/>
        <w:rPr>
          <w:sz w:val="24"/>
          <w:szCs w:val="24"/>
        </w:rPr>
      </w:pPr>
      <w:bookmarkStart w:id="62" w:name="__RefHeading___Toc2794_4269637869"/>
      <w:bookmarkEnd w:id="62"/>
      <w:r>
        <w:rPr>
          <w:sz w:val="24"/>
          <w:szCs w:val="24"/>
        </w:rPr>
        <w:t>Appendix B — Streamlit Application Screenshots</w:t>
      </w:r>
    </w:p>
    <w:p>
      <w:pPr>
        <w:pStyle w:val="Normal"/>
        <w:spacing w:lineRule="auto" w:line="480" w:before="0" w:after="200"/>
        <w:ind w:firstLine="720"/>
        <w:jc w:val="both"/>
        <w:rPr>
          <w:sz w:val="24"/>
          <w:szCs w:val="24"/>
        </w:rPr>
      </w:pPr>
      <w:r>
        <w:rPr>
          <w:sz w:val="24"/>
          <w:szCs w:val="24"/>
        </w:rPr>
        <w:t>The following screenshots are from the Distribution Management Analytics System — a six-page interactive dashboard developed using Python and Streamlit. The application is accessible locally and has been developed as the front-end delivery mechanism for all analytical outputs of this project.</w:t>
      </w:r>
    </w:p>
    <w:p>
      <w:pPr>
        <w:pStyle w:val="Normal"/>
        <w:spacing w:lineRule="auto" w:line="480" w:before="0" w:after="200"/>
        <w:ind w:firstLine="720"/>
        <w:jc w:val="both"/>
        <w:rPr>
          <w:sz w:val="24"/>
          <w:szCs w:val="24"/>
        </w:rPr>
      </w:pPr>
      <w:r>
        <w:rPr>
          <w:sz w:val="24"/>
          <w:szCs w:val="24"/>
        </w:rPr>
        <mc:AlternateContent>
          <mc:Choice Requires="wps">
            <w:drawing>
              <wp:anchor distT="10160" distB="8890" distL="9525" distR="9525" simplePos="0" relativeHeight="15" behindDoc="0" locked="0" layoutInCell="0" allowOverlap="1" wp14:anchorId="23C7E2FC">
                <wp:simplePos x="0" y="0"/>
                <wp:positionH relativeFrom="margin">
                  <wp:align>center</wp:align>
                </wp:positionH>
                <wp:positionV relativeFrom="paragraph">
                  <wp:posOffset>-1270</wp:posOffset>
                </wp:positionV>
                <wp:extent cx="5943600" cy="5724525"/>
                <wp:effectExtent l="9525" t="10160" r="9525" b="8890"/>
                <wp:wrapNone/>
                <wp:docPr id="14" name="Rectangle 1"/>
                <a:graphic xmlns:a="http://schemas.openxmlformats.org/drawingml/2006/main">
                  <a:graphicData uri="http://schemas.microsoft.com/office/word/2010/wordprocessingShape">
                    <wps:wsp>
                      <wps:cNvSpPr/>
                      <wps:spPr>
                        <a:xfrm>
                          <a:off x="0" y="0"/>
                          <a:ext cx="5943600" cy="5724360"/>
                        </a:xfrm>
                        <a:prstGeom prst="rect">
                          <a:avLst/>
                        </a:prstGeom>
                        <a:blipFill rotWithShape="0">
                          <a:blip r:embed="rId30"/>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stroked="t" o:allowincell="f" style="position:absolute;margin-left:0pt;margin-top:-0.1pt;width:467.95pt;height:450.7pt;mso-wrap-style:none;v-text-anchor:middle;mso-position-horizontal:center;mso-position-horizontal-relative:margin" wp14:anchorId="23C7E2FC">
                <v:fill r:id="rId31" o:detectmouseclick="t" type="frame" color2="black"/>
                <v:stroke color="#092a38" weight="19080" joinstyle="miter" endcap="flat"/>
                <w10:wrap type="none"/>
              </v:rect>
            </w:pict>
          </mc:Fallback>
        </mc:AlternateContent>
      </w:r>
    </w:p>
    <w:p>
      <w:pPr>
        <w:pStyle w:val="Normal"/>
        <w:spacing w:lineRule="auto" w:line="480"/>
        <w:rPr>
          <w:sz w:val="24"/>
          <w:szCs w:val="24"/>
        </w:rPr>
      </w:pPr>
      <w:r>
        <w:rPr>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sz w:val="24"/>
          <w:szCs w:val="24"/>
        </w:rPr>
      </w:pPr>
      <w:r>
        <w:rPr>
          <w:sz w:val="24"/>
          <w:szCs w:val="24"/>
        </w:rPr>
      </w:r>
    </w:p>
    <w:p>
      <w:pPr>
        <w:pStyle w:val="Normal"/>
        <w:spacing w:lineRule="auto" w:line="360" w:before="80" w:after="280"/>
        <w:jc w:val="center"/>
        <w:rPr>
          <w:sz w:val="24"/>
          <w:szCs w:val="24"/>
        </w:rPr>
      </w:pPr>
      <w:r>
        <w:rPr>
          <w:i/>
          <w:iCs/>
          <w:sz w:val="24"/>
          <w:szCs w:val="24"/>
        </w:rPr>
        <w:t xml:space="preserve">Figure B.1: Dashboard overview page showing five KPI metric cards, monthly sales area chart, FY comparison bar chart, top 5 styles, category pie chart, and key findings panel. Source: </w:t>
        <w:br/>
        <w:t>Author's Streamlit application.</w:t>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mc:AlternateContent>
          <mc:Choice Requires="wps">
            <w:drawing>
              <wp:anchor distT="9525" distB="9525" distL="9525" distR="9525" simplePos="0" relativeHeight="16" behindDoc="0" locked="0" layoutInCell="0" allowOverlap="1" wp14:anchorId="6EE7A0FC">
                <wp:simplePos x="0" y="0"/>
                <wp:positionH relativeFrom="margin">
                  <wp:posOffset>-9525</wp:posOffset>
                </wp:positionH>
                <wp:positionV relativeFrom="paragraph">
                  <wp:posOffset>109855</wp:posOffset>
                </wp:positionV>
                <wp:extent cx="5943600" cy="4895850"/>
                <wp:effectExtent l="9525" t="9525" r="9525" b="9525"/>
                <wp:wrapNone/>
                <wp:docPr id="15" name="Rectangle 1"/>
                <a:graphic xmlns:a="http://schemas.openxmlformats.org/drawingml/2006/main">
                  <a:graphicData uri="http://schemas.microsoft.com/office/word/2010/wordprocessingShape">
                    <wps:wsp>
                      <wps:cNvSpPr/>
                      <wps:spPr>
                        <a:xfrm>
                          <a:off x="0" y="0"/>
                          <a:ext cx="5943600" cy="4896000"/>
                        </a:xfrm>
                        <a:prstGeom prst="rect">
                          <a:avLst/>
                        </a:prstGeom>
                        <a:blipFill rotWithShape="0">
                          <a:blip r:embed="rId32"/>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color w:val="FFFFFF"/>
                              </w:rPr>
                            </w:pPr>
                            <w:r>
                              <w:rPr>
                                <w:color w:val="000000"/>
                              </w:rPr>
                            </w:r>
                          </w:p>
                        </w:txbxContent>
                      </wps:txbx>
                      <wps:bodyPr anchor="ctr">
                        <a:prstTxWarp prst="textNoShape"/>
                        <a:noAutofit/>
                      </wps:bodyPr>
                    </wps:wsp>
                  </a:graphicData>
                </a:graphic>
              </wp:anchor>
            </w:drawing>
          </mc:Choice>
          <mc:Fallback>
            <w:pict>
              <v:rect id="shape_0" stroked="t" o:allowincell="f" style="position:absolute;margin-left:-0.75pt;margin-top:8.65pt;width:467.95pt;height:385.45pt;mso-wrap-style:none;v-text-anchor:middle;mso-position-horizontal-relative:margin" wp14:anchorId="6EE7A0FC">
                <v:fill r:id="rId33" o:detectmouseclick="t" type="frame" color2="black"/>
                <v:stroke color="#092a38" weight="19080" joinstyle="miter" endcap="flat"/>
                <v:textbox>
                  <w:txbxContent>
                    <w:p>
                      <w:pPr>
                        <w:pStyle w:val="FrameContentsuser"/>
                        <w:jc w:val="center"/>
                        <w:rPr>
                          <w:color w:val="FFFFFF"/>
                        </w:rPr>
                      </w:pPr>
                      <w:r>
                        <w:rPr>
                          <w:color w:val="000000"/>
                        </w:rPr>
                      </w:r>
                    </w:p>
                  </w:txbxContent>
                </v:textbox>
                <w10:wrap type="none"/>
              </v:rect>
            </w:pict>
          </mc:Fallback>
        </mc:AlternateContent>
      </w:r>
    </w:p>
    <w:p>
      <w:pPr>
        <w:pStyle w:val="Normal"/>
        <w:spacing w:lineRule="auto" w:line="480"/>
        <w:rPr>
          <w:sz w:val="24"/>
          <w:szCs w:val="24"/>
        </w:rPr>
      </w:pPr>
      <w:r>
        <w:rPr>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rPr>
          <w:i/>
          <w:iCs/>
          <w:sz w:val="24"/>
          <w:szCs w:val="24"/>
        </w:rPr>
      </w:pPr>
      <w:r>
        <w:rPr>
          <w:i/>
          <w:iCs/>
          <w:sz w:val="24"/>
          <w:szCs w:val="24"/>
        </w:rPr>
      </w:r>
    </w:p>
    <w:p>
      <w:pPr>
        <w:pStyle w:val="Normal"/>
        <w:spacing w:lineRule="auto" w:line="360" w:before="80" w:after="280"/>
        <w:jc w:val="center"/>
        <w:rPr>
          <w:sz w:val="24"/>
          <w:szCs w:val="24"/>
        </w:rPr>
      </w:pPr>
      <w:r>
        <w:rPr>
          <w:i/>
          <w:iCs/>
          <w:sz w:val="24"/>
          <w:szCs w:val="24"/>
        </w:rPr>
        <w:t>Figure B.2: Sales analysis page showing monthly bar chart with metric selector, seasonal heatmap, top style codes, category breakdown, and top 20 SKU table. Source: Author's Streamlit application.</w:t>
      </w:r>
    </w:p>
    <w:p>
      <w:pPr>
        <w:pStyle w:val="Normal"/>
        <w:spacing w:lineRule="auto" w:line="480"/>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r>
        <w:br w:type="page"/>
      </w:r>
    </w:p>
    <w:p>
      <w:pPr>
        <w:pStyle w:val="Normal"/>
        <w:spacing w:before="0" w:after="0"/>
        <w:jc w:val="center"/>
        <w:rPr>
          <w:sz w:val="24"/>
          <w:szCs w:val="24"/>
        </w:rPr>
      </w:pPr>
      <w:r>
        <w:rPr>
          <w:sz w:val="24"/>
          <w:szCs w:val="24"/>
        </w:rPr>
      </w:r>
    </w:p>
    <w:p>
      <w:pPr>
        <w:pStyle w:val="Normal"/>
        <w:spacing w:lineRule="auto" w:line="480"/>
        <w:rPr>
          <w:sz w:val="24"/>
          <w:szCs w:val="24"/>
        </w:rPr>
      </w:pPr>
      <w:r>
        <w:rPr>
          <w:sz w:val="24"/>
          <w:szCs w:val="24"/>
        </w:rPr>
      </w:r>
    </w:p>
    <w:p>
      <w:pPr>
        <w:pStyle w:val="Normal"/>
        <w:spacing w:lineRule="auto" w:line="360" w:before="80" w:after="280"/>
        <w:jc w:val="center"/>
        <w:rPr>
          <w:i/>
          <w:iCs/>
          <w:sz w:val="24"/>
          <w:szCs w:val="24"/>
        </w:rPr>
      </w:pPr>
      <w:r>
        <w:rPr>
          <w:i/>
          <w:iCs/>
          <w:sz w:val="24"/>
          <w:szCs w:val="24"/>
        </w:rPr>
        <mc:AlternateContent>
          <mc:Choice Requires="wps">
            <w:drawing>
              <wp:anchor distT="9525" distB="9525" distL="9525" distR="9525" simplePos="0" relativeHeight="18" behindDoc="0" locked="0" layoutInCell="0" allowOverlap="1" wp14:anchorId="3B26C96A">
                <wp:simplePos x="0" y="0"/>
                <wp:positionH relativeFrom="margin">
                  <wp:posOffset>-9525</wp:posOffset>
                </wp:positionH>
                <wp:positionV relativeFrom="paragraph">
                  <wp:posOffset>-85725</wp:posOffset>
                </wp:positionV>
                <wp:extent cx="5943600" cy="4914900"/>
                <wp:effectExtent l="9525" t="9525" r="9525" b="9525"/>
                <wp:wrapNone/>
                <wp:docPr id="16" name="Rectangle 1"/>
                <a:graphic xmlns:a="http://schemas.openxmlformats.org/drawingml/2006/main">
                  <a:graphicData uri="http://schemas.microsoft.com/office/word/2010/wordprocessingShape">
                    <wps:wsp>
                      <wps:cNvSpPr/>
                      <wps:spPr>
                        <a:xfrm>
                          <a:off x="0" y="0"/>
                          <a:ext cx="5943600" cy="4915080"/>
                        </a:xfrm>
                        <a:prstGeom prst="rect">
                          <a:avLst/>
                        </a:prstGeom>
                        <a:blipFill rotWithShape="0">
                          <a:blip r:embed="rId34"/>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color w:val="FFFFFF"/>
                              </w:rPr>
                            </w:pPr>
                            <w:r>
                              <w:rPr>
                                <w:color w:val="000000"/>
                              </w:rPr>
                            </w:r>
                          </w:p>
                        </w:txbxContent>
                      </wps:txbx>
                      <wps:bodyPr anchor="ctr">
                        <a:prstTxWarp prst="textNoShape"/>
                        <a:noAutofit/>
                      </wps:bodyPr>
                    </wps:wsp>
                  </a:graphicData>
                </a:graphic>
              </wp:anchor>
            </w:drawing>
          </mc:Choice>
          <mc:Fallback>
            <w:pict>
              <v:rect id="shape_0" stroked="t" o:allowincell="f" style="position:absolute;margin-left:-0.75pt;margin-top:-6.75pt;width:467.95pt;height:386.95pt;mso-wrap-style:none;v-text-anchor:middle;mso-position-horizontal-relative:margin" wp14:anchorId="3B26C96A">
                <v:fill r:id="rId35" o:detectmouseclick="t" type="frame" color2="black"/>
                <v:stroke color="#092a38" weight="19080" joinstyle="miter" endcap="flat"/>
                <v:textbox>
                  <w:txbxContent>
                    <w:p>
                      <w:pPr>
                        <w:pStyle w:val="FrameContentsuser"/>
                        <w:jc w:val="center"/>
                        <w:rPr>
                          <w:color w:val="FFFFFF"/>
                        </w:rPr>
                      </w:pPr>
                      <w:r>
                        <w:rPr>
                          <w:color w:val="000000"/>
                        </w:rPr>
                      </w:r>
                    </w:p>
                  </w:txbxContent>
                </v:textbox>
                <w10:wrap type="none"/>
              </v:rect>
            </w:pict>
          </mc:Fallback>
        </mc:AlternateContent>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sz w:val="24"/>
          <w:szCs w:val="24"/>
        </w:rPr>
      </w:pPr>
      <w:r>
        <w:rPr>
          <w:i/>
          <w:iCs/>
          <w:sz w:val="24"/>
          <w:szCs w:val="24"/>
        </w:rPr>
        <w:t>Figure B.3: Demand forecasting page with interactive style selector, combined actual/predicted/forecast line chart with vertical markers, and three-month forward forecast metric cards. Source: Author's Streamlit application.</w:t>
      </w:r>
    </w:p>
    <w:p>
      <w:pPr>
        <w:pStyle w:val="Normal"/>
        <w:rPr>
          <w:sz w:val="24"/>
          <w:szCs w:val="24"/>
        </w:rPr>
      </w:pPr>
      <w:r>
        <w:rPr>
          <w:sz w:val="24"/>
          <w:szCs w:val="24"/>
        </w:rPr>
      </w:r>
      <w:r>
        <w:br w:type="page"/>
      </w:r>
    </w:p>
    <w:p>
      <w:pPr>
        <w:pStyle w:val="Normal"/>
        <w:spacing w:lineRule="auto" w:line="480" w:before="0" w:after="0"/>
        <w:rPr>
          <w:sz w:val="24"/>
          <w:szCs w:val="24"/>
        </w:rPr>
      </w:pPr>
      <w:r>
        <w:rPr>
          <w:sz w:val="24"/>
          <w:szCs w:val="24"/>
        </w:rPr>
        <mc:AlternateContent>
          <mc:Choice Requires="wps">
            <w:drawing>
              <wp:anchor distT="9525" distB="9525" distL="9525" distR="9525" simplePos="0" relativeHeight="20" behindDoc="0" locked="0" layoutInCell="0" allowOverlap="1" wp14:anchorId="68E298C4">
                <wp:simplePos x="0" y="0"/>
                <wp:positionH relativeFrom="margin">
                  <wp:align>center</wp:align>
                </wp:positionH>
                <wp:positionV relativeFrom="paragraph">
                  <wp:posOffset>635</wp:posOffset>
                </wp:positionV>
                <wp:extent cx="5943600" cy="4914900"/>
                <wp:effectExtent l="9525" t="9525" r="9525" b="9525"/>
                <wp:wrapNone/>
                <wp:docPr id="17" name="Rectangle 1"/>
                <a:graphic xmlns:a="http://schemas.openxmlformats.org/drawingml/2006/main">
                  <a:graphicData uri="http://schemas.microsoft.com/office/word/2010/wordprocessingShape">
                    <wps:wsp>
                      <wps:cNvSpPr/>
                      <wps:spPr>
                        <a:xfrm>
                          <a:off x="0" y="0"/>
                          <a:ext cx="5943600" cy="4915080"/>
                        </a:xfrm>
                        <a:prstGeom prst="rect">
                          <a:avLst/>
                        </a:prstGeom>
                        <a:blipFill rotWithShape="0">
                          <a:blip r:embed="rId36"/>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color w:val="FFFFFF"/>
                              </w:rPr>
                            </w:pPr>
                            <w:r>
                              <w:rPr>
                                <w:color w:val="000000"/>
                              </w:rPr>
                            </w:r>
                          </w:p>
                        </w:txbxContent>
                      </wps:txbx>
                      <wps:bodyPr anchor="ctr">
                        <a:prstTxWarp prst="textNoShape"/>
                        <a:noAutofit/>
                      </wps:bodyPr>
                    </wps:wsp>
                  </a:graphicData>
                </a:graphic>
              </wp:anchor>
            </w:drawing>
          </mc:Choice>
          <mc:Fallback>
            <w:pict>
              <v:rect id="shape_0" stroked="t" o:allowincell="f" style="position:absolute;margin-left:0pt;margin-top:0.05pt;width:467.95pt;height:386.95pt;mso-wrap-style:none;v-text-anchor:middle;mso-position-horizontal:center;mso-position-horizontal-relative:margin" wp14:anchorId="68E298C4">
                <v:fill r:id="rId37" o:detectmouseclick="t" type="frame" color2="black"/>
                <v:stroke color="#092a38" weight="19080" joinstyle="miter" endcap="flat"/>
                <v:textbox>
                  <w:txbxContent>
                    <w:p>
                      <w:pPr>
                        <w:pStyle w:val="FrameContentsuser"/>
                        <w:jc w:val="center"/>
                        <w:rPr>
                          <w:color w:val="FFFFFF"/>
                        </w:rPr>
                      </w:pPr>
                      <w:r>
                        <w:rPr>
                          <w:color w:val="000000"/>
                        </w:rPr>
                      </w:r>
                    </w:p>
                  </w:txbxContent>
                </v:textbox>
                <w10:wrap type="none"/>
              </v:rect>
            </w:pict>
          </mc:Fallback>
        </mc:AlternateContent>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sz w:val="24"/>
          <w:szCs w:val="24"/>
        </w:rPr>
      </w:pPr>
      <w:r>
        <w:rPr>
          <w:i/>
          <w:iCs/>
          <w:sz w:val="24"/>
          <w:szCs w:val="24"/>
        </w:rPr>
        <w:t>Figure B.4: Stock analysis page showing style-level stock trend area chart, top 20 SKUs by current stock, and total warehouse stock over the snapshot period. Source: Author's Streamlit application.</w:t>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br/>
      </w:r>
      <w:r>
        <w:br w:type="page"/>
      </w:r>
    </w:p>
    <w:p>
      <w:pPr>
        <w:pStyle w:val="Normal"/>
        <w:spacing w:lineRule="auto" w:line="480" w:before="0" w:after="0"/>
        <w:rPr>
          <w:sz w:val="24"/>
          <w:szCs w:val="24"/>
        </w:rPr>
      </w:pPr>
      <w:r>
        <w:rPr>
          <w:sz w:val="24"/>
          <w:szCs w:val="24"/>
        </w:rPr>
        <mc:AlternateContent>
          <mc:Choice Requires="wps">
            <w:drawing>
              <wp:anchor distT="9525" distB="9525" distL="9525" distR="9525" simplePos="0" relativeHeight="22" behindDoc="0" locked="0" layoutInCell="0" allowOverlap="1" wp14:anchorId="198908A5">
                <wp:simplePos x="0" y="0"/>
                <wp:positionH relativeFrom="margin">
                  <wp:align>center</wp:align>
                </wp:positionH>
                <wp:positionV relativeFrom="paragraph">
                  <wp:posOffset>266700</wp:posOffset>
                </wp:positionV>
                <wp:extent cx="5943600" cy="4248150"/>
                <wp:effectExtent l="9525" t="9525" r="9525" b="9525"/>
                <wp:wrapNone/>
                <wp:docPr id="18" name="Rectangle 1"/>
                <a:graphic xmlns:a="http://schemas.openxmlformats.org/drawingml/2006/main">
                  <a:graphicData uri="http://schemas.microsoft.com/office/word/2010/wordprocessingShape">
                    <wps:wsp>
                      <wps:cNvSpPr/>
                      <wps:spPr>
                        <a:xfrm>
                          <a:off x="0" y="0"/>
                          <a:ext cx="5943600" cy="4248000"/>
                        </a:xfrm>
                        <a:prstGeom prst="rect">
                          <a:avLst/>
                        </a:prstGeom>
                        <a:blipFill rotWithShape="0">
                          <a:blip r:embed="rId38"/>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color w:val="FFFFFF"/>
                              </w:rPr>
                            </w:pPr>
                            <w:r>
                              <w:rPr>
                                <w:color w:val="000000"/>
                              </w:rPr>
                            </w:r>
                          </w:p>
                        </w:txbxContent>
                      </wps:txbx>
                      <wps:bodyPr anchor="ctr">
                        <a:prstTxWarp prst="textNoShape"/>
                        <a:noAutofit/>
                      </wps:bodyPr>
                    </wps:wsp>
                  </a:graphicData>
                </a:graphic>
              </wp:anchor>
            </w:drawing>
          </mc:Choice>
          <mc:Fallback>
            <w:pict>
              <v:rect id="shape_0" stroked="t" o:allowincell="f" style="position:absolute;margin-left:0pt;margin-top:21pt;width:467.95pt;height:334.45pt;mso-wrap-style:none;v-text-anchor:middle;mso-position-horizontal:center;mso-position-horizontal-relative:margin" wp14:anchorId="198908A5">
                <v:fill r:id="rId39" o:detectmouseclick="t" type="frame" color2="black"/>
                <v:stroke color="#092a38" weight="19080" joinstyle="miter" endcap="flat"/>
                <v:textbox>
                  <w:txbxContent>
                    <w:p>
                      <w:pPr>
                        <w:pStyle w:val="FrameContentsuser"/>
                        <w:jc w:val="center"/>
                        <w:rPr>
                          <w:color w:val="FFFFFF"/>
                        </w:rPr>
                      </w:pPr>
                      <w:r>
                        <w:rPr>
                          <w:color w:val="000000"/>
                        </w:rPr>
                      </w:r>
                    </w:p>
                  </w:txbxContent>
                </v:textbox>
                <w10:wrap type="none"/>
              </v:rect>
            </w:pict>
          </mc:Fallback>
        </mc:AlternateContent>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360" w:before="80" w:after="280"/>
        <w:jc w:val="center"/>
        <w:rPr>
          <w:sz w:val="24"/>
          <w:szCs w:val="24"/>
        </w:rPr>
      </w:pPr>
      <w:r>
        <w:rPr>
          <w:i/>
          <w:iCs/>
          <w:sz w:val="24"/>
          <w:szCs w:val="24"/>
        </w:rPr>
        <w:t>Figure B.5: Purchase vs sales comparison page showing monthly grouped bars, overstock/understock status pie chart, sell-through rate metrics, and month-by-month detail table. Source: Author's Streamlit application.</w:t>
      </w:r>
    </w:p>
    <w:p>
      <w:pPr>
        <w:pStyle w:val="Normal"/>
        <w:rPr>
          <w:sz w:val="24"/>
          <w:szCs w:val="24"/>
        </w:rPr>
      </w:pPr>
      <w:r>
        <w:rPr>
          <w:sz w:val="24"/>
          <w:szCs w:val="24"/>
        </w:rPr>
      </w:r>
      <w:r>
        <w:br w:type="page"/>
      </w:r>
    </w:p>
    <w:p>
      <w:pPr>
        <w:pStyle w:val="Normal"/>
        <w:spacing w:lineRule="auto" w:line="480" w:before="0" w:after="0"/>
        <w:rPr>
          <w:sz w:val="24"/>
          <w:szCs w:val="24"/>
        </w:rPr>
      </w:pPr>
      <w:r>
        <w:rPr>
          <w:sz w:val="24"/>
          <w:szCs w:val="24"/>
        </w:rPr>
        <mc:AlternateContent>
          <mc:Choice Requires="wps">
            <w:drawing>
              <wp:anchor distT="9525" distB="9525" distL="9525" distR="9525" simplePos="0" relativeHeight="24" behindDoc="0" locked="0" layoutInCell="0" allowOverlap="1" wp14:anchorId="4AC8824E">
                <wp:simplePos x="0" y="0"/>
                <wp:positionH relativeFrom="margin">
                  <wp:align>center</wp:align>
                </wp:positionH>
                <wp:positionV relativeFrom="paragraph">
                  <wp:posOffset>-57150</wp:posOffset>
                </wp:positionV>
                <wp:extent cx="5943600" cy="4248150"/>
                <wp:effectExtent l="9525" t="9525" r="9525" b="9525"/>
                <wp:wrapNone/>
                <wp:docPr id="19" name="Rectangle 1"/>
                <a:graphic xmlns:a="http://schemas.openxmlformats.org/drawingml/2006/main">
                  <a:graphicData uri="http://schemas.microsoft.com/office/word/2010/wordprocessingShape">
                    <wps:wsp>
                      <wps:cNvSpPr/>
                      <wps:spPr>
                        <a:xfrm>
                          <a:off x="0" y="0"/>
                          <a:ext cx="5943600" cy="4248000"/>
                        </a:xfrm>
                        <a:prstGeom prst="rect">
                          <a:avLst/>
                        </a:prstGeom>
                        <a:blipFill rotWithShape="0">
                          <a:blip r:embed="rId40"/>
                          <a:stretch>
                            <a:fillRect/>
                          </a:stretch>
                        </a:blipFill>
                        <a:ln>
                          <a:solidFill>
                            <a:srgbClr val="092A38"/>
                          </a:solidFill>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color w:val="FFFFFF"/>
                              </w:rPr>
                            </w:pPr>
                            <w:r>
                              <w:rPr>
                                <w:color w:val="000000"/>
                              </w:rPr>
                            </w:r>
                          </w:p>
                        </w:txbxContent>
                      </wps:txbx>
                      <wps:bodyPr anchor="ctr">
                        <a:prstTxWarp prst="textNoShape"/>
                        <a:noAutofit/>
                      </wps:bodyPr>
                    </wps:wsp>
                  </a:graphicData>
                </a:graphic>
              </wp:anchor>
            </w:drawing>
          </mc:Choice>
          <mc:Fallback>
            <w:pict>
              <v:rect id="shape_0" stroked="t" o:allowincell="f" style="position:absolute;margin-left:0pt;margin-top:-4.5pt;width:467.95pt;height:334.45pt;mso-wrap-style:none;v-text-anchor:middle;mso-position-horizontal:center;mso-position-horizontal-relative:margin" wp14:anchorId="4AC8824E">
                <v:fill r:id="rId41" o:detectmouseclick="t" type="frame" color2="black"/>
                <v:stroke color="#092a38" weight="19080" joinstyle="miter" endcap="flat"/>
                <v:textbox>
                  <w:txbxContent>
                    <w:p>
                      <w:pPr>
                        <w:pStyle w:val="FrameContentsuser"/>
                        <w:jc w:val="center"/>
                        <w:rPr>
                          <w:color w:val="FFFFFF"/>
                        </w:rPr>
                      </w:pPr>
                      <w:r>
                        <w:rPr>
                          <w:color w:val="000000"/>
                        </w:rPr>
                      </w:r>
                    </w:p>
                  </w:txbxContent>
                </v:textbox>
                <w10:wrap type="none"/>
              </v:rect>
            </w:pict>
          </mc:Fallback>
        </mc:AlternateContent>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sz w:val="24"/>
          <w:szCs w:val="24"/>
        </w:rPr>
      </w:pPr>
      <w:r>
        <w:rPr>
          <w:i/>
          <w:iCs/>
          <w:sz w:val="24"/>
          <w:szCs w:val="24"/>
        </w:rPr>
        <w:t>Figure B.6: Model evaluation page comparing Moving Average and Linear Regression at both style and SKU level, with evaluation metrics table, actual vs predicted grouped bar chart, and interpretive notes. Source: Author's Streamlit application.</w:t>
      </w:r>
    </w:p>
    <w:p>
      <w:pPr>
        <w:pStyle w:val="Normal"/>
        <w:spacing w:lineRule="auto" w:line="480"/>
        <w:rPr>
          <w:sz w:val="24"/>
          <w:szCs w:val="24"/>
        </w:rPr>
      </w:pPr>
      <w:r>
        <w:rPr>
          <w:sz w:val="24"/>
          <w:szCs w:val="24"/>
        </w:rPr>
      </w:r>
    </w:p>
    <w:p>
      <w:pPr>
        <w:pStyle w:val="Normal"/>
        <w:rPr>
          <w:b/>
          <w:bCs/>
          <w:color w:val="000000"/>
          <w:sz w:val="24"/>
          <w:szCs w:val="24"/>
        </w:rPr>
      </w:pPr>
      <w:r>
        <w:rPr>
          <w:b/>
          <w:bCs/>
          <w:color w:val="000000"/>
          <w:sz w:val="24"/>
          <w:szCs w:val="24"/>
        </w:rPr>
      </w:r>
      <w:r>
        <w:br w:type="page"/>
      </w:r>
    </w:p>
    <w:p>
      <w:pPr>
        <w:pStyle w:val="Heading2"/>
        <w:spacing w:before="0" w:after="200"/>
        <w:rPr>
          <w:sz w:val="24"/>
          <w:szCs w:val="24"/>
        </w:rPr>
      </w:pPr>
      <w:bookmarkStart w:id="63" w:name="__RefHeading___Toc2796_4269637869"/>
      <w:bookmarkEnd w:id="63"/>
      <w:r>
        <w:rPr>
          <w:sz w:val="24"/>
          <w:szCs w:val="24"/>
        </w:rPr>
        <w:t>Appendix C — Key Code Snippets</w:t>
      </w:r>
    </w:p>
    <w:p>
      <w:pPr>
        <w:pStyle w:val="Normal"/>
        <w:spacing w:lineRule="auto" w:line="480" w:before="0" w:after="200"/>
        <w:ind w:firstLine="720"/>
        <w:jc w:val="both"/>
        <w:rPr>
          <w:sz w:val="24"/>
          <w:szCs w:val="24"/>
        </w:rPr>
      </w:pPr>
      <w:r>
        <w:rPr>
          <w:sz w:val="24"/>
          <w:szCs w:val="24"/>
        </w:rPr>
        <w:t>The following code snippets are extracted from the Jupyter Notebook used for data analysis and model development. The complete codebase is hosted on GitHub and can be accessed via the link provided in the project submission. All code was written in Python 3.13 using the libraries listed in Chapter 3.</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Code Snippet C.1 — Data Loading and Preprocessing</w:t>
      </w:r>
    </w:p>
    <w:tbl>
      <w:tblPr>
        <w:tblW w:w="9360" w:type="dxa"/>
        <w:jc w:val="start"/>
        <w:tblInd w:w="0" w:type="dxa"/>
        <w:tblLayout w:type="fixed"/>
        <w:tblCellMar>
          <w:top w:w="160" w:type="dxa"/>
          <w:start w:w="240" w:type="dxa"/>
          <w:bottom w:w="160" w:type="dxa"/>
          <w:end w:w="240" w:type="dxa"/>
        </w:tblCellMar>
        <w:tblLook w:noHBand="0" w:lastColumn="0" w:firstColumn="0" w:lastRow="0" w:firstRow="0" w:noVBand="0" w:val="0000"/>
      </w:tblPr>
      <w:tblGrid>
        <w:gridCol w:w="9360"/>
      </w:tblGrid>
      <w:tr>
        <w:trPr/>
        <w:tc>
          <w:tcPr>
            <w:tcW w:w="9360" w:type="dxa"/>
            <w:tcBorders>
              <w:top w:val="single" w:sz="2" w:space="0" w:color="374151"/>
              <w:start w:val="single" w:sz="6" w:space="0" w:color="2563EB"/>
              <w:bottom w:val="single" w:sz="2" w:space="0" w:color="374151"/>
              <w:end w:val="single" w:sz="2" w:space="0" w:color="374151"/>
            </w:tcBorders>
            <w:shd w:color="auto" w:fill="1E293B" w:val="clear"/>
          </w:tcPr>
          <w:p>
            <w:pPr>
              <w:pStyle w:val="Normal"/>
              <w:spacing w:lineRule="auto" w:line="360"/>
              <w:rPr>
                <w:sz w:val="24"/>
                <w:szCs w:val="24"/>
              </w:rPr>
            </w:pPr>
            <w:r>
              <w:rPr>
                <w:rFonts w:eastAsia="Courier New" w:cs="Courier New" w:ascii="Courier New" w:hAnsi="Courier New"/>
                <w:color w:val="E2E8F0"/>
                <w:sz w:val="24"/>
                <w:szCs w:val="24"/>
              </w:rPr>
              <w:t># Load all cleaned datasets</w:t>
            </w:r>
          </w:p>
          <w:p>
            <w:pPr>
              <w:pStyle w:val="Normal"/>
              <w:spacing w:lineRule="auto" w:line="360"/>
              <w:rPr>
                <w:sz w:val="24"/>
                <w:szCs w:val="24"/>
              </w:rPr>
            </w:pPr>
            <w:r>
              <w:rPr>
                <w:rFonts w:eastAsia="Courier New" w:cs="Courier New" w:ascii="Courier New" w:hAnsi="Courier New"/>
                <w:color w:val="E2E8F0"/>
                <w:sz w:val="24"/>
                <w:szCs w:val="24"/>
              </w:rPr>
              <w:t>import pandas as pd</w:t>
            </w:r>
          </w:p>
          <w:p>
            <w:pPr>
              <w:pStyle w:val="Normal"/>
              <w:spacing w:lineRule="auto" w:line="360"/>
              <w:rPr>
                <w:sz w:val="24"/>
                <w:szCs w:val="24"/>
              </w:rPr>
            </w:pPr>
            <w:r>
              <w:rPr>
                <w:rFonts w:eastAsia="Courier New" w:cs="Courier New" w:ascii="Courier New" w:hAnsi="Courier New"/>
                <w:color w:val="E2E8F0"/>
                <w:sz w:val="24"/>
                <w:szCs w:val="24"/>
              </w:rPr>
              <w:t>import numpy as np</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sales    = pd.read_excel("data_cleaned/sales_billing_data_cleaned.xlsx",</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parse_dates=["Invoice_Date"])</w:t>
            </w:r>
          </w:p>
          <w:p>
            <w:pPr>
              <w:pStyle w:val="Normal"/>
              <w:spacing w:lineRule="auto" w:line="360"/>
              <w:rPr>
                <w:sz w:val="24"/>
                <w:szCs w:val="24"/>
              </w:rPr>
            </w:pPr>
            <w:r>
              <w:rPr>
                <w:rFonts w:eastAsia="Courier New" w:cs="Courier New" w:ascii="Courier New" w:hAnsi="Courier New"/>
                <w:color w:val="E2E8F0"/>
                <w:sz w:val="24"/>
                <w:szCs w:val="24"/>
              </w:rPr>
              <w:t>purchase = pd.read_excel("data_cleaned/purchase_data_cleaned.xlsx",</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parse_dates=["Invoice_Date"])</w:t>
            </w:r>
          </w:p>
          <w:p>
            <w:pPr>
              <w:pStyle w:val="Normal"/>
              <w:spacing w:lineRule="auto" w:line="360"/>
              <w:rPr>
                <w:sz w:val="24"/>
                <w:szCs w:val="24"/>
              </w:rPr>
            </w:pPr>
            <w:r>
              <w:rPr>
                <w:rFonts w:eastAsia="Courier New" w:cs="Courier New" w:ascii="Courier New" w:hAnsi="Courier New"/>
                <w:color w:val="E2E8F0"/>
                <w:sz w:val="24"/>
                <w:szCs w:val="24"/>
              </w:rPr>
              <w:t>orders   = pd.read_excel("data_cleaned/app_order_data_cleaned.xlsx",</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parse_dates=["Order Date"])</w:t>
            </w:r>
          </w:p>
          <w:p>
            <w:pPr>
              <w:pStyle w:val="Normal"/>
              <w:spacing w:lineRule="auto" w:line="360"/>
              <w:rPr>
                <w:sz w:val="24"/>
                <w:szCs w:val="24"/>
              </w:rPr>
            </w:pPr>
            <w:r>
              <w:rPr>
                <w:rFonts w:eastAsia="Courier New" w:cs="Courier New" w:ascii="Courier New" w:hAnsi="Courier New"/>
                <w:color w:val="E2E8F0"/>
                <w:sz w:val="24"/>
                <w:szCs w:val="24"/>
              </w:rPr>
              <w:t>stock    = pd.read_excel("data_cleaned/stock_snapshots_cleaned.xlsx",</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parse_dates=["Snapshot_Date"])</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 Add time period columns</w:t>
            </w:r>
          </w:p>
          <w:p>
            <w:pPr>
              <w:pStyle w:val="Normal"/>
              <w:spacing w:lineRule="auto" w:line="360"/>
              <w:rPr>
                <w:sz w:val="24"/>
                <w:szCs w:val="24"/>
              </w:rPr>
            </w:pPr>
            <w:r>
              <w:rPr>
                <w:rFonts w:eastAsia="Courier New" w:cs="Courier New" w:ascii="Courier New" w:hAnsi="Courier New"/>
                <w:color w:val="E2E8F0"/>
                <w:sz w:val="24"/>
                <w:szCs w:val="24"/>
              </w:rPr>
              <w:t>sales["Month"] = sales["Invoice_Date"].dt.to_period("M")</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def get_fy(dt):</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if dt.month &gt;= 4:</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return f"FY {dt.year}-{str(dt.year+1)[-2:]}"</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return f"FY {dt.year-1}-{str(dt.year)[-2:]}"</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sales["FY"] = sales["Invoice_Date"].apply(get_fy)</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 Filter to current firm only</w:t>
            </w:r>
          </w:p>
          <w:p>
            <w:pPr>
              <w:pStyle w:val="Normal"/>
              <w:spacing w:lineRule="auto" w:line="360"/>
              <w:rPr>
                <w:sz w:val="24"/>
                <w:szCs w:val="24"/>
              </w:rPr>
            </w:pPr>
            <w:r>
              <w:rPr>
                <w:rFonts w:eastAsia="Courier New" w:cs="Courier New" w:ascii="Courier New" w:hAnsi="Courier New"/>
                <w:color w:val="E2E8F0"/>
                <w:sz w:val="24"/>
                <w:szCs w:val="24"/>
              </w:rPr>
              <w:t>sales_current = sales[</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sales["Invoice_Number"].astype(str).str.upper().str.startswith("K")</w:t>
            </w:r>
          </w:p>
          <w:p>
            <w:pPr>
              <w:pStyle w:val="Normal"/>
              <w:spacing w:lineRule="auto" w:line="360"/>
              <w:rPr>
                <w:sz w:val="24"/>
                <w:szCs w:val="24"/>
              </w:rPr>
            </w:pPr>
            <w:r>
              <w:rPr>
                <w:rFonts w:eastAsia="Courier New" w:cs="Courier New" w:ascii="Courier New" w:hAnsi="Courier New"/>
                <w:color w:val="E2E8F0"/>
                <w:sz w:val="24"/>
                <w:szCs w:val="24"/>
              </w:rPr>
              <w:t>].copy()</w:t>
            </w:r>
          </w:p>
        </w:tc>
      </w:tr>
    </w:tbl>
    <w:p>
      <w:pPr>
        <w:pStyle w:val="Normal"/>
        <w:spacing w:lineRule="auto" w:line="360" w:before="80" w:after="280"/>
        <w:jc w:val="center"/>
        <w:rPr>
          <w:sz w:val="24"/>
          <w:szCs w:val="24"/>
        </w:rPr>
      </w:pPr>
      <w:r>
        <w:rPr>
          <w:i/>
          <w:iCs/>
          <w:sz w:val="24"/>
          <w:szCs w:val="24"/>
        </w:rPr>
        <w:t>Code C.1: Data loading and preprocessing — loading all six cleaned datasets and adding time period classification columns.</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Code Snippet C.2 — Financial Year Sales Summary</w:t>
      </w:r>
    </w:p>
    <w:tbl>
      <w:tblPr>
        <w:tblW w:w="9360" w:type="dxa"/>
        <w:jc w:val="start"/>
        <w:tblInd w:w="0" w:type="dxa"/>
        <w:tblLayout w:type="fixed"/>
        <w:tblCellMar>
          <w:top w:w="160" w:type="dxa"/>
          <w:start w:w="240" w:type="dxa"/>
          <w:bottom w:w="160" w:type="dxa"/>
          <w:end w:w="240" w:type="dxa"/>
        </w:tblCellMar>
        <w:tblLook w:noHBand="0" w:lastColumn="0" w:firstColumn="0" w:lastRow="0" w:firstRow="0" w:noVBand="0" w:val="0000"/>
      </w:tblPr>
      <w:tblGrid>
        <w:gridCol w:w="9360"/>
      </w:tblGrid>
      <w:tr>
        <w:trPr/>
        <w:tc>
          <w:tcPr>
            <w:tcW w:w="9360" w:type="dxa"/>
            <w:tcBorders>
              <w:top w:val="single" w:sz="2" w:space="0" w:color="374151"/>
              <w:start w:val="single" w:sz="6" w:space="0" w:color="2563EB"/>
              <w:bottom w:val="single" w:sz="2" w:space="0" w:color="374151"/>
              <w:end w:val="single" w:sz="2" w:space="0" w:color="374151"/>
            </w:tcBorders>
            <w:shd w:color="auto" w:fill="1E293B" w:val="clear"/>
          </w:tcPr>
          <w:p>
            <w:pPr>
              <w:pStyle w:val="Normal"/>
              <w:spacing w:lineRule="auto" w:line="360"/>
              <w:rPr>
                <w:sz w:val="24"/>
                <w:szCs w:val="24"/>
              </w:rPr>
            </w:pPr>
            <w:r>
              <w:rPr>
                <w:rFonts w:eastAsia="Courier New" w:cs="Courier New" w:ascii="Courier New" w:hAnsi="Courier New"/>
                <w:color w:val="E2E8F0"/>
                <w:sz w:val="24"/>
                <w:szCs w:val="24"/>
              </w:rPr>
              <w:t># Financial year-wise performance summary</w:t>
            </w:r>
          </w:p>
          <w:p>
            <w:pPr>
              <w:pStyle w:val="Normal"/>
              <w:spacing w:lineRule="auto" w:line="360"/>
              <w:rPr>
                <w:sz w:val="24"/>
                <w:szCs w:val="24"/>
              </w:rPr>
            </w:pPr>
            <w:r>
              <w:rPr>
                <w:rFonts w:eastAsia="Courier New" w:cs="Courier New" w:ascii="Courier New" w:hAnsi="Courier New"/>
                <w:color w:val="E2E8F0"/>
                <w:sz w:val="24"/>
                <w:szCs w:val="24"/>
              </w:rPr>
              <w:t>fy_summary = (sales.groupby("FY")</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.agg(</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Units_Sold = ("Quantity",       "sum"),</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Value      = ("Item_Total",      "sum"),</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Invoices   = ("Invoice_Number",  "nunique"),</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SKUs       = ("SKU_Code",        "nunique")</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).reset_index().sort_values("FY"))</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 Year-on-year growth calculation</w:t>
            </w:r>
          </w:p>
          <w:p>
            <w:pPr>
              <w:pStyle w:val="Normal"/>
              <w:spacing w:lineRule="auto" w:line="360"/>
              <w:rPr>
                <w:sz w:val="24"/>
                <w:szCs w:val="24"/>
              </w:rPr>
            </w:pPr>
            <w:r>
              <w:rPr>
                <w:rFonts w:eastAsia="Courier New" w:cs="Courier New" w:ascii="Courier New" w:hAnsi="Courier New"/>
                <w:color w:val="E2E8F0"/>
                <w:sz w:val="24"/>
                <w:szCs w:val="24"/>
              </w:rPr>
              <w:t>growth_qty = ((fy_summary.iloc[-1]["Units_Sold"]</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 fy_summary.iloc[-2]["Units_Sold"])</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 fy_summary.iloc[-2]["Units_Sold"] * 100)</w:t>
            </w:r>
          </w:p>
          <w:p>
            <w:pPr>
              <w:pStyle w:val="Normal"/>
              <w:spacing w:lineRule="auto" w:line="360"/>
              <w:rPr>
                <w:sz w:val="24"/>
                <w:szCs w:val="24"/>
              </w:rPr>
            </w:pPr>
            <w:r>
              <w:rPr>
                <w:rFonts w:eastAsia="Courier New" w:cs="Courier New" w:ascii="Courier New" w:hAnsi="Courier New"/>
                <w:color w:val="E2E8F0"/>
                <w:sz w:val="24"/>
                <w:szCs w:val="24"/>
              </w:rPr>
              <w:t>growth_val = ((fy_summary.iloc[-1]["Value"]</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 fy_summary.iloc[-2]["Value"])</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 fy_summary.iloc[-2]["Value"] * 100)</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print(f"Quantity YoY Growth: {growth_qty:+.1f}%")</w:t>
            </w:r>
          </w:p>
          <w:p>
            <w:pPr>
              <w:pStyle w:val="Normal"/>
              <w:spacing w:lineRule="auto" w:line="360"/>
              <w:rPr>
                <w:sz w:val="24"/>
                <w:szCs w:val="24"/>
              </w:rPr>
            </w:pPr>
            <w:r>
              <w:rPr>
                <w:rFonts w:eastAsia="Courier New" w:cs="Courier New" w:ascii="Courier New" w:hAnsi="Courier New"/>
                <w:color w:val="E2E8F0"/>
                <w:sz w:val="24"/>
                <w:szCs w:val="24"/>
              </w:rPr>
              <w:t>print(f"Value YoY Growth   : {growth_val:+.1f}%")</w:t>
            </w:r>
          </w:p>
        </w:tc>
      </w:tr>
    </w:tbl>
    <w:p>
      <w:pPr>
        <w:pStyle w:val="Normal"/>
        <w:spacing w:lineRule="auto" w:line="360" w:before="80" w:after="280"/>
        <w:jc w:val="center"/>
        <w:rPr>
          <w:sz w:val="24"/>
          <w:szCs w:val="24"/>
        </w:rPr>
      </w:pPr>
      <w:r>
        <w:rPr>
          <w:i/>
          <w:iCs/>
          <w:sz w:val="24"/>
          <w:szCs w:val="24"/>
        </w:rPr>
        <w:t>Code C.2: Financial year-wise aggregation and year-on-year growth calculation. Output: +17.8% quantity growth, +28.3% value growth (FY 2024-25 to FY 2025-26).</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Code Snippet C.3 — Demand Forecasting Model (Linear Regression with Seasonal Features)</w:t>
      </w:r>
    </w:p>
    <w:tbl>
      <w:tblPr>
        <w:tblW w:w="9360" w:type="dxa"/>
        <w:jc w:val="start"/>
        <w:tblInd w:w="0" w:type="dxa"/>
        <w:tblLayout w:type="fixed"/>
        <w:tblCellMar>
          <w:top w:w="160" w:type="dxa"/>
          <w:start w:w="240" w:type="dxa"/>
          <w:bottom w:w="160" w:type="dxa"/>
          <w:end w:w="240" w:type="dxa"/>
        </w:tblCellMar>
        <w:tblLook w:noHBand="0" w:lastColumn="0" w:firstColumn="0" w:lastRow="0" w:firstRow="0" w:noVBand="0" w:val="0000"/>
      </w:tblPr>
      <w:tblGrid>
        <w:gridCol w:w="9360"/>
      </w:tblGrid>
      <w:tr>
        <w:trPr/>
        <w:tc>
          <w:tcPr>
            <w:tcW w:w="9360" w:type="dxa"/>
            <w:tcBorders>
              <w:top w:val="single" w:sz="2" w:space="0" w:color="374151"/>
              <w:start w:val="single" w:sz="6" w:space="0" w:color="2563EB"/>
              <w:bottom w:val="single" w:sz="2" w:space="0" w:color="374151"/>
              <w:end w:val="single" w:sz="2" w:space="0" w:color="374151"/>
            </w:tcBorders>
            <w:shd w:color="auto" w:fill="1E293B" w:val="clear"/>
          </w:tcPr>
          <w:p>
            <w:pPr>
              <w:pStyle w:val="Normal"/>
              <w:spacing w:lineRule="auto" w:line="360"/>
              <w:rPr>
                <w:sz w:val="24"/>
                <w:szCs w:val="24"/>
              </w:rPr>
            </w:pPr>
            <w:r>
              <w:rPr>
                <w:rFonts w:eastAsia="Courier New" w:cs="Courier New" w:ascii="Courier New" w:hAnsi="Courier New"/>
                <w:color w:val="E2E8F0"/>
                <w:sz w:val="24"/>
                <w:szCs w:val="24"/>
              </w:rPr>
              <w:t>from sklearn.linear_model import LinearRegression</w:t>
            </w:r>
          </w:p>
          <w:p>
            <w:pPr>
              <w:pStyle w:val="Normal"/>
              <w:spacing w:lineRule="auto" w:line="360"/>
              <w:rPr>
                <w:sz w:val="24"/>
                <w:szCs w:val="24"/>
              </w:rPr>
            </w:pPr>
            <w:r>
              <w:rPr>
                <w:rFonts w:eastAsia="Courier New" w:cs="Courier New" w:ascii="Courier New" w:hAnsi="Courier New"/>
                <w:color w:val="E2E8F0"/>
                <w:sz w:val="24"/>
                <w:szCs w:val="24"/>
              </w:rPr>
              <w:t>from sklearn.metrics import mean_absolute_error, mean_squared_error</w:t>
            </w:r>
          </w:p>
          <w:p>
            <w:pPr>
              <w:pStyle w:val="Normal"/>
              <w:spacing w:lineRule="auto" w:line="360"/>
              <w:rPr>
                <w:sz w:val="24"/>
                <w:szCs w:val="24"/>
              </w:rPr>
            </w:pPr>
            <w:r>
              <w:rPr>
                <w:rFonts w:eastAsia="Courier New" w:cs="Courier New" w:ascii="Courier New" w:hAnsi="Courier New"/>
                <w:color w:val="E2E8F0"/>
                <w:sz w:val="24"/>
                <w:szCs w:val="24"/>
              </w:rPr>
              <w:t>import numpy as np</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 Build monthly series for target style</w:t>
            </w:r>
          </w:p>
          <w:p>
            <w:pPr>
              <w:pStyle w:val="Normal"/>
              <w:spacing w:lineRule="auto" w:line="360"/>
              <w:rPr>
                <w:sz w:val="24"/>
                <w:szCs w:val="24"/>
              </w:rPr>
            </w:pPr>
            <w:r>
              <w:rPr>
                <w:rFonts w:eastAsia="Courier New" w:cs="Courier New" w:ascii="Courier New" w:hAnsi="Courier New"/>
                <w:color w:val="E2E8F0"/>
                <w:sz w:val="24"/>
                <w:szCs w:val="24"/>
              </w:rPr>
              <w:t>style = "D143"</w:t>
            </w:r>
          </w:p>
          <w:p>
            <w:pPr>
              <w:pStyle w:val="Normal"/>
              <w:spacing w:lineRule="auto" w:line="360"/>
              <w:rPr>
                <w:sz w:val="24"/>
                <w:szCs w:val="24"/>
              </w:rPr>
            </w:pPr>
            <w:r>
              <w:rPr>
                <w:rFonts w:eastAsia="Courier New" w:cs="Courier New" w:ascii="Courier New" w:hAnsi="Courier New"/>
                <w:color w:val="E2E8F0"/>
                <w:sz w:val="24"/>
                <w:szCs w:val="24"/>
              </w:rPr>
              <w:t>d143 = (sales_current[sales_current["Style"] == style]</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.groupby("Month")["Quantity"].sum().reset_index())</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all_months = pd.period_range(</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sales_current["Month"].min(),</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sales_current["Month"].max(), freq="M"</w:t>
            </w:r>
          </w:p>
          <w:p>
            <w:pPr>
              <w:pStyle w:val="Normal"/>
              <w:spacing w:lineRule="auto" w:line="360"/>
              <w:rPr>
                <w:sz w:val="24"/>
                <w:szCs w:val="24"/>
              </w:rPr>
            </w:pPr>
            <w:r>
              <w:rPr>
                <w:rFonts w:eastAsia="Courier New" w:cs="Courier New" w:ascii="Courier New" w:hAnsi="Courier New"/>
                <w:color w:val="E2E8F0"/>
                <w:sz w:val="24"/>
                <w:szCs w:val="24"/>
              </w:rPr>
              <w:t>)</w:t>
            </w:r>
          </w:p>
          <w:p>
            <w:pPr>
              <w:pStyle w:val="Normal"/>
              <w:spacing w:lineRule="auto" w:line="360"/>
              <w:rPr>
                <w:sz w:val="24"/>
                <w:szCs w:val="24"/>
              </w:rPr>
            </w:pPr>
            <w:r>
              <w:rPr>
                <w:rFonts w:eastAsia="Courier New" w:cs="Courier New" w:ascii="Courier New" w:hAnsi="Courier New"/>
                <w:color w:val="E2E8F0"/>
                <w:sz w:val="24"/>
                <w:szCs w:val="24"/>
              </w:rPr>
              <w:t>d143_full = (d143.set_index("Month")["Quantity"]</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.reindex(all_months, fill_value=0).reset_index())</w:t>
            </w:r>
          </w:p>
          <w:p>
            <w:pPr>
              <w:pStyle w:val="Normal"/>
              <w:spacing w:lineRule="auto" w:line="360"/>
              <w:rPr>
                <w:sz w:val="24"/>
                <w:szCs w:val="24"/>
              </w:rPr>
            </w:pPr>
            <w:r>
              <w:rPr>
                <w:rFonts w:eastAsia="Courier New" w:cs="Courier New" w:ascii="Courier New" w:hAnsi="Courier New"/>
                <w:color w:val="E2E8F0"/>
                <w:sz w:val="24"/>
                <w:szCs w:val="24"/>
              </w:rPr>
              <w:t>d143_full.columns = ["Month", "Qty"]</w:t>
            </w:r>
          </w:p>
          <w:p>
            <w:pPr>
              <w:pStyle w:val="Normal"/>
              <w:spacing w:lineRule="auto" w:line="360"/>
              <w:rPr>
                <w:sz w:val="24"/>
                <w:szCs w:val="24"/>
              </w:rPr>
            </w:pPr>
            <w:r>
              <w:rPr>
                <w:rFonts w:eastAsia="Courier New" w:cs="Courier New" w:ascii="Courier New" w:hAnsi="Courier New"/>
                <w:color w:val="E2E8F0"/>
                <w:sz w:val="24"/>
                <w:szCs w:val="24"/>
              </w:rPr>
              <w:t>d143_full["t"]    = range(len(d143_full))</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 Seasonal feature engineering</w:t>
            </w:r>
          </w:p>
          <w:p>
            <w:pPr>
              <w:pStyle w:val="Normal"/>
              <w:spacing w:lineRule="auto" w:line="360"/>
              <w:rPr>
                <w:sz w:val="24"/>
                <w:szCs w:val="24"/>
              </w:rPr>
            </w:pPr>
            <w:r>
              <w:rPr>
                <w:rFonts w:eastAsia="Courier New" w:cs="Courier New" w:ascii="Courier New" w:hAnsi="Courier New"/>
                <w:color w:val="E2E8F0"/>
                <w:sz w:val="24"/>
                <w:szCs w:val="24"/>
              </w:rPr>
              <w:t>def make_features(df):</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df = df.copy()</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df["month_of_year"] = df["Month"].dt.month</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df["sin_month"]     = np.sin(2 * np.pi * df["month_of_year"] / 12)</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df["cos_month"]     = np.cos(2 * np.pi * df["month_of_year"] / 12)</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return df</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 Train / test split — last 4 months as test</w:t>
            </w:r>
          </w:p>
          <w:p>
            <w:pPr>
              <w:pStyle w:val="Normal"/>
              <w:spacing w:lineRule="auto" w:line="360"/>
              <w:rPr>
                <w:sz w:val="24"/>
                <w:szCs w:val="24"/>
              </w:rPr>
            </w:pPr>
            <w:r>
              <w:rPr>
                <w:rFonts w:eastAsia="Courier New" w:cs="Courier New" w:ascii="Courier New" w:hAnsi="Courier New"/>
                <w:color w:val="E2E8F0"/>
                <w:sz w:val="24"/>
                <w:szCs w:val="24"/>
              </w:rPr>
              <w:t>train = d143_full.iloc[:25].copy()</w:t>
            </w:r>
          </w:p>
          <w:p>
            <w:pPr>
              <w:pStyle w:val="Normal"/>
              <w:spacing w:lineRule="auto" w:line="360"/>
              <w:rPr>
                <w:sz w:val="24"/>
                <w:szCs w:val="24"/>
              </w:rPr>
            </w:pPr>
            <w:r>
              <w:rPr>
                <w:rFonts w:eastAsia="Courier New" w:cs="Courier New" w:ascii="Courier New" w:hAnsi="Courier New"/>
                <w:color w:val="E2E8F0"/>
                <w:sz w:val="24"/>
                <w:szCs w:val="24"/>
              </w:rPr>
              <w:t>test  = d143_full.iloc[25:].copy()</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features = ["t", "sin_month", "cos_month"]</w:t>
            </w:r>
          </w:p>
          <w:p>
            <w:pPr>
              <w:pStyle w:val="Normal"/>
              <w:spacing w:lineRule="auto" w:line="360"/>
              <w:rPr>
                <w:sz w:val="24"/>
                <w:szCs w:val="24"/>
              </w:rPr>
            </w:pPr>
            <w:r>
              <w:rPr>
                <w:rFonts w:eastAsia="Courier New" w:cs="Courier New" w:ascii="Courier New" w:hAnsi="Courier New"/>
                <w:color w:val="E2E8F0"/>
                <w:sz w:val="24"/>
                <w:szCs w:val="24"/>
              </w:rPr>
              <w:t>train_f  = make_features(train)</w:t>
            </w:r>
          </w:p>
          <w:p>
            <w:pPr>
              <w:pStyle w:val="Normal"/>
              <w:spacing w:lineRule="auto" w:line="360"/>
              <w:rPr>
                <w:sz w:val="24"/>
                <w:szCs w:val="24"/>
              </w:rPr>
            </w:pPr>
            <w:r>
              <w:rPr>
                <w:rFonts w:eastAsia="Courier New" w:cs="Courier New" w:ascii="Courier New" w:hAnsi="Courier New"/>
                <w:color w:val="E2E8F0"/>
                <w:sz w:val="24"/>
                <w:szCs w:val="24"/>
              </w:rPr>
              <w:t>test_f   = make_features(test)</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 Train Linear Regression model</w:t>
            </w:r>
          </w:p>
          <w:p>
            <w:pPr>
              <w:pStyle w:val="Normal"/>
              <w:spacing w:lineRule="auto" w:line="360"/>
              <w:rPr>
                <w:sz w:val="24"/>
                <w:szCs w:val="24"/>
              </w:rPr>
            </w:pPr>
            <w:r>
              <w:rPr>
                <w:rFonts w:eastAsia="Courier New" w:cs="Courier New" w:ascii="Courier New" w:hAnsi="Courier New"/>
                <w:color w:val="E2E8F0"/>
                <w:sz w:val="24"/>
                <w:szCs w:val="24"/>
              </w:rPr>
              <w:t>lr = LinearRegression()</w:t>
            </w:r>
          </w:p>
          <w:p>
            <w:pPr>
              <w:pStyle w:val="Normal"/>
              <w:spacing w:lineRule="auto" w:line="360"/>
              <w:rPr>
                <w:sz w:val="24"/>
                <w:szCs w:val="24"/>
              </w:rPr>
            </w:pPr>
            <w:r>
              <w:rPr>
                <w:rFonts w:eastAsia="Courier New" w:cs="Courier New" w:ascii="Courier New" w:hAnsi="Courier New"/>
                <w:color w:val="E2E8F0"/>
                <w:sz w:val="24"/>
                <w:szCs w:val="24"/>
              </w:rPr>
              <w:t>lr.fit(train_f[features], train_f["Qty"])</w:t>
            </w:r>
          </w:p>
          <w:p>
            <w:pPr>
              <w:pStyle w:val="Normal"/>
              <w:spacing w:lineRule="auto" w:line="360"/>
              <w:rPr>
                <w:sz w:val="24"/>
                <w:szCs w:val="24"/>
              </w:rPr>
            </w:pPr>
            <w:r>
              <w:rPr>
                <w:rFonts w:eastAsia="Courier New" w:cs="Courier New" w:ascii="Courier New" w:hAnsi="Courier New"/>
                <w:color w:val="E2E8F0"/>
                <w:sz w:val="24"/>
                <w:szCs w:val="24"/>
              </w:rPr>
              <w:t>lr_preds = np.maximum(lr.predict(test_f[features]), 0).round().astype(int)</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 Evaluate</w:t>
            </w:r>
          </w:p>
          <w:p>
            <w:pPr>
              <w:pStyle w:val="Normal"/>
              <w:spacing w:lineRule="auto" w:line="360"/>
              <w:rPr>
                <w:sz w:val="24"/>
                <w:szCs w:val="24"/>
              </w:rPr>
            </w:pPr>
            <w:r>
              <w:rPr>
                <w:rFonts w:eastAsia="Courier New" w:cs="Courier New" w:ascii="Courier New" w:hAnsi="Courier New"/>
                <w:color w:val="E2E8F0"/>
                <w:sz w:val="24"/>
                <w:szCs w:val="24"/>
              </w:rPr>
              <w:t>actual = test["Qty"].values</w:t>
            </w:r>
          </w:p>
          <w:p>
            <w:pPr>
              <w:pStyle w:val="Normal"/>
              <w:spacing w:lineRule="auto" w:line="360"/>
              <w:rPr>
                <w:sz w:val="24"/>
                <w:szCs w:val="24"/>
              </w:rPr>
            </w:pPr>
            <w:r>
              <w:rPr>
                <w:rFonts w:eastAsia="Courier New" w:cs="Courier New" w:ascii="Courier New" w:hAnsi="Courier New"/>
                <w:color w:val="E2E8F0"/>
                <w:sz w:val="24"/>
                <w:szCs w:val="24"/>
              </w:rPr>
              <w:t>mae    = mean_absolute_error(actual, lr_preds)</w:t>
            </w:r>
          </w:p>
          <w:p>
            <w:pPr>
              <w:pStyle w:val="Normal"/>
              <w:spacing w:lineRule="auto" w:line="360"/>
              <w:rPr>
                <w:sz w:val="24"/>
                <w:szCs w:val="24"/>
              </w:rPr>
            </w:pPr>
            <w:r>
              <w:rPr>
                <w:rFonts w:eastAsia="Courier New" w:cs="Courier New" w:ascii="Courier New" w:hAnsi="Courier New"/>
                <w:color w:val="E2E8F0"/>
                <w:sz w:val="24"/>
                <w:szCs w:val="24"/>
              </w:rPr>
              <w:t>rmse   = np.sqrt(mean_squared_error(actual, lr_preds))</w:t>
            </w:r>
          </w:p>
          <w:p>
            <w:pPr>
              <w:pStyle w:val="Normal"/>
              <w:spacing w:lineRule="auto" w:line="360"/>
              <w:rPr>
                <w:sz w:val="24"/>
                <w:szCs w:val="24"/>
              </w:rPr>
            </w:pPr>
            <w:r>
              <w:rPr>
                <w:rFonts w:eastAsia="Courier New" w:cs="Courier New" w:ascii="Courier New" w:hAnsi="Courier New"/>
                <w:color w:val="E2E8F0"/>
                <w:sz w:val="24"/>
                <w:szCs w:val="24"/>
              </w:rPr>
              <w:t>print(f"MAE  : {mae:.2f} units")</w:t>
            </w:r>
          </w:p>
          <w:p>
            <w:pPr>
              <w:pStyle w:val="Normal"/>
              <w:spacing w:lineRule="auto" w:line="360"/>
              <w:rPr>
                <w:sz w:val="24"/>
                <w:szCs w:val="24"/>
              </w:rPr>
            </w:pPr>
            <w:r>
              <w:rPr>
                <w:rFonts w:eastAsia="Courier New" w:cs="Courier New" w:ascii="Courier New" w:hAnsi="Courier New"/>
                <w:color w:val="E2E8F0"/>
                <w:sz w:val="24"/>
                <w:szCs w:val="24"/>
              </w:rPr>
              <w:t>print(f"RMSE : {rmse:.2f} units")</w:t>
            </w:r>
          </w:p>
        </w:tc>
      </w:tr>
    </w:tbl>
    <w:p>
      <w:pPr>
        <w:pStyle w:val="Normal"/>
        <w:spacing w:lineRule="auto" w:line="360" w:before="80" w:after="280"/>
        <w:jc w:val="center"/>
        <w:rPr>
          <w:sz w:val="24"/>
          <w:szCs w:val="24"/>
        </w:rPr>
      </w:pPr>
      <w:r>
        <w:rPr>
          <w:i/>
          <w:iCs/>
          <w:sz w:val="24"/>
          <w:szCs w:val="24"/>
        </w:rPr>
        <w:t>Code C.3: Linear Regression demand forecasting model with sine/cosine seasonal features. Applied to style D143 aggregated monthly series. MAE = 134.75 units.</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Code Snippet C.4 — Three-Month Forward Forecast</w:t>
      </w:r>
    </w:p>
    <w:tbl>
      <w:tblPr>
        <w:tblW w:w="9360" w:type="dxa"/>
        <w:jc w:val="start"/>
        <w:tblInd w:w="0" w:type="dxa"/>
        <w:tblLayout w:type="fixed"/>
        <w:tblCellMar>
          <w:top w:w="160" w:type="dxa"/>
          <w:start w:w="240" w:type="dxa"/>
          <w:bottom w:w="160" w:type="dxa"/>
          <w:end w:w="240" w:type="dxa"/>
        </w:tblCellMar>
        <w:tblLook w:noHBand="0" w:lastColumn="0" w:firstColumn="0" w:lastRow="0" w:firstRow="0" w:noVBand="0" w:val="0000"/>
      </w:tblPr>
      <w:tblGrid>
        <w:gridCol w:w="9360"/>
      </w:tblGrid>
      <w:tr>
        <w:trPr/>
        <w:tc>
          <w:tcPr>
            <w:tcW w:w="9360" w:type="dxa"/>
            <w:tcBorders>
              <w:top w:val="single" w:sz="2" w:space="0" w:color="374151"/>
              <w:start w:val="single" w:sz="6" w:space="0" w:color="2563EB"/>
              <w:bottom w:val="single" w:sz="2" w:space="0" w:color="374151"/>
              <w:end w:val="single" w:sz="2" w:space="0" w:color="374151"/>
            </w:tcBorders>
            <w:shd w:color="auto" w:fill="1E293B" w:val="clear"/>
          </w:tcPr>
          <w:p>
            <w:pPr>
              <w:pStyle w:val="Normal"/>
              <w:spacing w:lineRule="auto" w:line="360"/>
              <w:rPr>
                <w:sz w:val="24"/>
                <w:szCs w:val="24"/>
              </w:rPr>
            </w:pPr>
            <w:r>
              <w:rPr>
                <w:rFonts w:eastAsia="Courier New" w:cs="Courier New" w:ascii="Courier New" w:hAnsi="Courier New"/>
                <w:color w:val="E2E8F0"/>
                <w:sz w:val="24"/>
                <w:szCs w:val="24"/>
              </w:rPr>
              <w:t># Generate forward forecast for next 3 months</w:t>
            </w:r>
          </w:p>
          <w:p>
            <w:pPr>
              <w:pStyle w:val="Normal"/>
              <w:spacing w:lineRule="auto" w:line="360"/>
              <w:rPr>
                <w:sz w:val="24"/>
                <w:szCs w:val="24"/>
              </w:rPr>
            </w:pPr>
            <w:r>
              <w:rPr>
                <w:rFonts w:eastAsia="Courier New" w:cs="Courier New" w:ascii="Courier New" w:hAnsi="Courier New"/>
                <w:color w:val="E2E8F0"/>
                <w:sz w:val="24"/>
                <w:szCs w:val="24"/>
              </w:rPr>
              <w:t>next_months = pd.period_range(</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start=d143_full["Month"].max() + 1,</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periods=3, freq="M"</w:t>
            </w:r>
          </w:p>
          <w:p>
            <w:pPr>
              <w:pStyle w:val="Normal"/>
              <w:spacing w:lineRule="auto" w:line="360"/>
              <w:rPr>
                <w:sz w:val="24"/>
                <w:szCs w:val="24"/>
              </w:rPr>
            </w:pPr>
            <w:r>
              <w:rPr>
                <w:rFonts w:eastAsia="Courier New" w:cs="Courier New" w:ascii="Courier New" w:hAnsi="Courier New"/>
                <w:color w:val="E2E8F0"/>
                <w:sz w:val="24"/>
                <w:szCs w:val="24"/>
              </w:rPr>
              <w:t>)</w:t>
            </w:r>
          </w:p>
          <w:p>
            <w:pPr>
              <w:pStyle w:val="Normal"/>
              <w:spacing w:lineRule="auto" w:line="360"/>
              <w:rPr>
                <w:sz w:val="24"/>
                <w:szCs w:val="24"/>
              </w:rPr>
            </w:pPr>
            <w:r>
              <w:rPr>
                <w:rFonts w:eastAsia="Courier New" w:cs="Courier New" w:ascii="Courier New" w:hAnsi="Courier New"/>
                <w:color w:val="E2E8F0"/>
                <w:sz w:val="24"/>
                <w:szCs w:val="24"/>
              </w:rPr>
              <w:t>next_df = pd.DataFrame({</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"Month"    : next_months,</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"t"        : range(len(d143_full), len(d143_full) + 3),</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"Month_str": [str(m) for m in next_months]</w:t>
            </w:r>
          </w:p>
          <w:p>
            <w:pPr>
              <w:pStyle w:val="Normal"/>
              <w:spacing w:lineRule="auto" w:line="360"/>
              <w:rPr>
                <w:sz w:val="24"/>
                <w:szCs w:val="24"/>
              </w:rPr>
            </w:pPr>
            <w:r>
              <w:rPr>
                <w:rFonts w:eastAsia="Courier New" w:cs="Courier New" w:ascii="Courier New" w:hAnsi="Courier New"/>
                <w:color w:val="E2E8F0"/>
                <w:sz w:val="24"/>
                <w:szCs w:val="24"/>
              </w:rPr>
              <w:t>})</w:t>
            </w:r>
          </w:p>
          <w:p>
            <w:pPr>
              <w:pStyle w:val="Normal"/>
              <w:spacing w:lineRule="auto" w:line="360"/>
              <w:rPr>
                <w:sz w:val="24"/>
                <w:szCs w:val="24"/>
              </w:rPr>
            </w:pPr>
            <w:r>
              <w:rPr>
                <w:rFonts w:eastAsia="Courier New" w:cs="Courier New" w:ascii="Courier New" w:hAnsi="Courier New"/>
                <w:color w:val="E2E8F0"/>
                <w:sz w:val="24"/>
                <w:szCs w:val="24"/>
              </w:rPr>
              <w:t>next_feat = make_features(next_df)</w:t>
            </w:r>
          </w:p>
          <w:p>
            <w:pPr>
              <w:pStyle w:val="Normal"/>
              <w:spacing w:lineRule="auto" w:line="360"/>
              <w:rPr>
                <w:sz w:val="24"/>
                <w:szCs w:val="24"/>
              </w:rPr>
            </w:pPr>
            <w:r>
              <w:rPr>
                <w:rFonts w:eastAsia="Courier New" w:cs="Courier New" w:ascii="Courier New" w:hAnsi="Courier New"/>
                <w:color w:val="E2E8F0"/>
                <w:sz w:val="24"/>
                <w:szCs w:val="24"/>
              </w:rPr>
              <w:t>lr_forecast = np.maximum(</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lr.predict(next_feat[features]), 0</w:t>
            </w:r>
          </w:p>
          <w:p>
            <w:pPr>
              <w:pStyle w:val="Normal"/>
              <w:spacing w:lineRule="auto" w:line="360"/>
              <w:rPr>
                <w:sz w:val="24"/>
                <w:szCs w:val="24"/>
              </w:rPr>
            </w:pPr>
            <w:r>
              <w:rPr>
                <w:rFonts w:eastAsia="Courier New" w:cs="Courier New" w:ascii="Courier New" w:hAnsi="Courier New"/>
                <w:color w:val="E2E8F0"/>
                <w:sz w:val="24"/>
                <w:szCs w:val="24"/>
              </w:rPr>
              <w:t>).round().astype(int)</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print("3-Month Demand Forecast — D143 Style")</w:t>
            </w:r>
          </w:p>
          <w:p>
            <w:pPr>
              <w:pStyle w:val="Normal"/>
              <w:spacing w:lineRule="auto" w:line="360"/>
              <w:rPr>
                <w:sz w:val="24"/>
                <w:szCs w:val="24"/>
              </w:rPr>
            </w:pPr>
            <w:r>
              <w:rPr>
                <w:rFonts w:eastAsia="Courier New" w:cs="Courier New" w:ascii="Courier New" w:hAnsi="Courier New"/>
                <w:color w:val="E2E8F0"/>
                <w:sz w:val="24"/>
                <w:szCs w:val="24"/>
              </w:rPr>
              <w:t>print("="*40)</w:t>
            </w:r>
          </w:p>
          <w:p>
            <w:pPr>
              <w:pStyle w:val="Normal"/>
              <w:spacing w:lineRule="auto" w:line="360"/>
              <w:rPr>
                <w:sz w:val="24"/>
                <w:szCs w:val="24"/>
              </w:rPr>
            </w:pPr>
            <w:r>
              <w:rPr>
                <w:rFonts w:eastAsia="Courier New" w:cs="Courier New" w:ascii="Courier New" w:hAnsi="Courier New"/>
                <w:color w:val="E2E8F0"/>
                <w:sz w:val="24"/>
                <w:szCs w:val="24"/>
              </w:rPr>
              <w:t>for m, qty in zip(next_months, lr_forecast):</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print(f"  {m}  →  {qty} units (LR forecast)")</w:t>
            </w:r>
          </w:p>
        </w:tc>
      </w:tr>
    </w:tbl>
    <w:p>
      <w:pPr>
        <w:pStyle w:val="Normal"/>
        <w:spacing w:lineRule="auto" w:line="360" w:before="80" w:after="280"/>
        <w:jc w:val="center"/>
        <w:rPr>
          <w:sz w:val="24"/>
          <w:szCs w:val="24"/>
        </w:rPr>
      </w:pPr>
      <w:r>
        <w:rPr>
          <w:i/>
          <w:iCs/>
          <w:sz w:val="24"/>
          <w:szCs w:val="24"/>
        </w:rPr>
        <w:t>Code C.4: Three-month ahead demand forecast generation. LR model projects 226 units (Apr), 236 units (May), 239 units (Jun) for style D143.</w:t>
      </w:r>
    </w:p>
    <w:p>
      <w:pPr>
        <w:pStyle w:val="Normal"/>
        <w:spacing w:lineRule="auto" w:line="480"/>
        <w:rPr>
          <w:sz w:val="24"/>
          <w:szCs w:val="24"/>
        </w:rPr>
      </w:pPr>
      <w:r>
        <w:rPr>
          <w:sz w:val="24"/>
          <w:szCs w:val="24"/>
        </w:rPr>
      </w:r>
    </w:p>
    <w:p>
      <w:pPr>
        <w:pStyle w:val="Normal"/>
        <w:spacing w:lineRule="auto" w:line="480" w:before="0" w:after="200"/>
        <w:ind w:firstLine="720"/>
        <w:jc w:val="both"/>
        <w:rPr>
          <w:sz w:val="24"/>
          <w:szCs w:val="24"/>
        </w:rPr>
      </w:pPr>
      <w:r>
        <w:rPr>
          <w:sz w:val="24"/>
          <w:szCs w:val="24"/>
        </w:rPr>
        <w:t>Code Snippet C.5 — Purchase vs Sales Comparison</w:t>
      </w:r>
    </w:p>
    <w:tbl>
      <w:tblPr>
        <w:tblW w:w="9360" w:type="dxa"/>
        <w:jc w:val="start"/>
        <w:tblInd w:w="0" w:type="dxa"/>
        <w:tblLayout w:type="fixed"/>
        <w:tblCellMar>
          <w:top w:w="160" w:type="dxa"/>
          <w:start w:w="240" w:type="dxa"/>
          <w:bottom w:w="160" w:type="dxa"/>
          <w:end w:w="240" w:type="dxa"/>
        </w:tblCellMar>
        <w:tblLook w:noHBand="0" w:lastColumn="0" w:firstColumn="0" w:lastRow="0" w:firstRow="0" w:noVBand="0" w:val="0000"/>
      </w:tblPr>
      <w:tblGrid>
        <w:gridCol w:w="9360"/>
      </w:tblGrid>
      <w:tr>
        <w:trPr/>
        <w:tc>
          <w:tcPr>
            <w:tcW w:w="9360" w:type="dxa"/>
            <w:tcBorders>
              <w:top w:val="single" w:sz="2" w:space="0" w:color="374151"/>
              <w:start w:val="single" w:sz="6" w:space="0" w:color="2563EB"/>
              <w:bottom w:val="single" w:sz="2" w:space="0" w:color="374151"/>
              <w:end w:val="single" w:sz="2" w:space="0" w:color="374151"/>
            </w:tcBorders>
            <w:shd w:color="auto" w:fill="1E293B" w:val="clear"/>
          </w:tcPr>
          <w:p>
            <w:pPr>
              <w:pStyle w:val="Normal"/>
              <w:spacing w:lineRule="auto" w:line="360"/>
              <w:rPr>
                <w:sz w:val="24"/>
                <w:szCs w:val="24"/>
              </w:rPr>
            </w:pPr>
            <w:r>
              <w:rPr>
                <w:rFonts w:eastAsia="Courier New" w:cs="Courier New" w:ascii="Courier New" w:hAnsi="Courier New"/>
                <w:color w:val="E2E8F0"/>
                <w:sz w:val="24"/>
                <w:szCs w:val="24"/>
              </w:rPr>
              <w:t># Monthly purchase vs sales comparison</w:t>
            </w:r>
          </w:p>
          <w:p>
            <w:pPr>
              <w:pStyle w:val="Normal"/>
              <w:spacing w:lineRule="auto" w:line="360"/>
              <w:rPr>
                <w:sz w:val="24"/>
                <w:szCs w:val="24"/>
              </w:rPr>
            </w:pPr>
            <w:r>
              <w:rPr>
                <w:rFonts w:eastAsia="Courier New" w:cs="Courier New" w:ascii="Courier New" w:hAnsi="Courier New"/>
                <w:color w:val="E2E8F0"/>
                <w:sz w:val="24"/>
                <w:szCs w:val="24"/>
              </w:rPr>
              <w:t>sales_monthly = (sales_current.groupby("Month")["Quantity"]</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.sum().reset_index()</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.rename(columns={"Quantity": "Sales_Qty"}))</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purchase_monthly = (purchase.groupby("Month")["Quantity"]</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.sum().reset_index()</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.rename(columns={"Quantity": "Purchase_Qty"}))</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comparison = pd.merge(</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sales_monthly, purchase_monthly,</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on="Month", how="outer"</w:t>
            </w:r>
          </w:p>
          <w:p>
            <w:pPr>
              <w:pStyle w:val="Normal"/>
              <w:spacing w:lineRule="auto" w:line="360"/>
              <w:rPr>
                <w:sz w:val="24"/>
                <w:szCs w:val="24"/>
              </w:rPr>
            </w:pPr>
            <w:r>
              <w:rPr>
                <w:rFonts w:eastAsia="Courier New" w:cs="Courier New" w:ascii="Courier New" w:hAnsi="Courier New"/>
                <w:color w:val="E2E8F0"/>
                <w:sz w:val="24"/>
                <w:szCs w:val="24"/>
              </w:rPr>
              <w:t>).fillna(0).sort_values("Month")</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comparison["Diff"]   = comparison["Purchase_Qty"] - comparison["Sales_Qty"]</w:t>
            </w:r>
          </w:p>
          <w:p>
            <w:pPr>
              <w:pStyle w:val="Normal"/>
              <w:spacing w:lineRule="auto" w:line="360"/>
              <w:rPr>
                <w:sz w:val="24"/>
                <w:szCs w:val="24"/>
              </w:rPr>
            </w:pPr>
            <w:r>
              <w:rPr>
                <w:rFonts w:eastAsia="Courier New" w:cs="Courier New" w:ascii="Courier New" w:hAnsi="Courier New"/>
                <w:color w:val="E2E8F0"/>
                <w:sz w:val="24"/>
                <w:szCs w:val="24"/>
              </w:rPr>
              <w:t>comparison["Status"] = comparison["Diff"].apply(</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lambda d: "OVERSTOCK"   if d &gt; 100  else</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"UNDERSTOCK"  if d &lt; -100 else</w:t>
            </w:r>
          </w:p>
          <w:p>
            <w:pPr>
              <w:pStyle w:val="Normal"/>
              <w:spacing w:lineRule="auto" w:line="360"/>
              <w:rPr>
                <w:sz w:val="24"/>
                <w:szCs w:val="24"/>
              </w:rPr>
            </w:pPr>
            <w:r>
              <w:rPr>
                <w:rFonts w:eastAsia="Courier New" w:cs="Courier New" w:ascii="Courier New" w:hAnsi="Courier New"/>
                <w:color w:val="E2E8F0"/>
                <w:sz w:val="24"/>
                <w:szCs w:val="24"/>
              </w:rPr>
              <w:t xml:space="preserve">              </w:t>
            </w:r>
            <w:r>
              <w:rPr>
                <w:rFonts w:eastAsia="Courier New" w:cs="Courier New" w:ascii="Courier New" w:hAnsi="Courier New"/>
                <w:color w:val="E2E8F0"/>
                <w:sz w:val="24"/>
                <w:szCs w:val="24"/>
              </w:rPr>
              <w:t>"BALANCED"</w:t>
            </w:r>
          </w:p>
          <w:p>
            <w:pPr>
              <w:pStyle w:val="Normal"/>
              <w:spacing w:lineRule="auto" w:line="360"/>
              <w:rPr>
                <w:sz w:val="24"/>
                <w:szCs w:val="24"/>
              </w:rPr>
            </w:pPr>
            <w:r>
              <w:rPr>
                <w:rFonts w:eastAsia="Courier New" w:cs="Courier New" w:ascii="Courier New" w:hAnsi="Courier New"/>
                <w:color w:val="E2E8F0"/>
                <w:sz w:val="24"/>
                <w:szCs w:val="24"/>
              </w:rPr>
              <w:t>)</w:t>
            </w:r>
          </w:p>
          <w:p>
            <w:pPr>
              <w:pStyle w:val="Normal"/>
              <w:spacing w:lineRule="auto" w:line="360"/>
              <w:rPr>
                <w:sz w:val="24"/>
                <w:szCs w:val="24"/>
              </w:rPr>
            </w:pPr>
            <w:r>
              <w:rPr>
                <w:rFonts w:eastAsia="Courier New" w:cs="Courier New" w:ascii="Courier New" w:hAnsi="Courier New"/>
                <w:color w:val="E2E8F0"/>
                <w:sz w:val="24"/>
                <w:szCs w:val="24"/>
              </w:rPr>
              <w:t xml:space="preserve"> </w:t>
            </w:r>
          </w:p>
          <w:p>
            <w:pPr>
              <w:pStyle w:val="Normal"/>
              <w:spacing w:lineRule="auto" w:line="360"/>
              <w:rPr>
                <w:sz w:val="24"/>
                <w:szCs w:val="24"/>
              </w:rPr>
            </w:pPr>
            <w:r>
              <w:rPr>
                <w:rFonts w:eastAsia="Courier New" w:cs="Courier New" w:ascii="Courier New" w:hAnsi="Courier New"/>
                <w:color w:val="E2E8F0"/>
                <w:sz w:val="24"/>
                <w:szCs w:val="24"/>
              </w:rPr>
              <w:t>total_sold     = comparison["Sales_Qty"].sum()</w:t>
            </w:r>
          </w:p>
          <w:p>
            <w:pPr>
              <w:pStyle w:val="Normal"/>
              <w:spacing w:lineRule="auto" w:line="360"/>
              <w:rPr>
                <w:sz w:val="24"/>
                <w:szCs w:val="24"/>
              </w:rPr>
            </w:pPr>
            <w:r>
              <w:rPr>
                <w:rFonts w:eastAsia="Courier New" w:cs="Courier New" w:ascii="Courier New" w:hAnsi="Courier New"/>
                <w:color w:val="E2E8F0"/>
                <w:sz w:val="24"/>
                <w:szCs w:val="24"/>
              </w:rPr>
              <w:t>total_purchased= comparison["Purchase_Qty"].sum()</w:t>
            </w:r>
          </w:p>
          <w:p>
            <w:pPr>
              <w:pStyle w:val="Normal"/>
              <w:spacing w:lineRule="auto" w:line="360"/>
              <w:rPr>
                <w:sz w:val="24"/>
                <w:szCs w:val="24"/>
              </w:rPr>
            </w:pPr>
            <w:r>
              <w:rPr>
                <w:rFonts w:eastAsia="Courier New" w:cs="Courier New" w:ascii="Courier New" w:hAnsi="Courier New"/>
                <w:color w:val="E2E8F0"/>
                <w:sz w:val="24"/>
                <w:szCs w:val="24"/>
              </w:rPr>
              <w:t>sell_through   = total_sold / total_purchased * 100</w:t>
            </w:r>
          </w:p>
          <w:p>
            <w:pPr>
              <w:pStyle w:val="Normal"/>
              <w:spacing w:lineRule="auto" w:line="360"/>
              <w:rPr>
                <w:sz w:val="24"/>
                <w:szCs w:val="24"/>
              </w:rPr>
            </w:pPr>
            <w:r>
              <w:rPr>
                <w:rFonts w:eastAsia="Courier New" w:cs="Courier New" w:ascii="Courier New" w:hAnsi="Courier New"/>
                <w:color w:val="E2E8F0"/>
                <w:sz w:val="24"/>
                <w:szCs w:val="24"/>
              </w:rPr>
              <w:t>print(f"Overall sell-through rate: {sell_through:.1f}%")</w:t>
            </w:r>
          </w:p>
        </w:tc>
      </w:tr>
    </w:tbl>
    <w:p>
      <w:pPr>
        <w:pStyle w:val="Normal"/>
        <w:spacing w:lineRule="auto" w:line="360" w:before="80" w:after="280"/>
        <w:jc w:val="center"/>
        <w:rPr>
          <w:i/>
          <w:iCs/>
          <w:sz w:val="24"/>
          <w:szCs w:val="24"/>
        </w:rPr>
      </w:pPr>
      <w:r>
        <w:rPr>
          <w:i/>
          <w:iCs/>
          <w:sz w:val="24"/>
          <w:szCs w:val="24"/>
        </w:rPr>
        <w:t>Code C.5: Monthly purchase vs sales comparison with overstock/understock classification. Overall sell-through rate: 84.9%.</w:t>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r>
    </w:p>
    <w:p>
      <w:pPr>
        <w:pStyle w:val="Normal"/>
        <w:spacing w:lineRule="auto" w:line="360" w:before="80" w:after="280"/>
        <w:jc w:val="center"/>
        <w:rPr>
          <w:i/>
          <w:iCs/>
          <w:sz w:val="24"/>
          <w:szCs w:val="24"/>
        </w:rPr>
      </w:pPr>
      <w:r>
        <w:rPr>
          <w:i/>
          <w:iCs/>
          <w:sz w:val="24"/>
          <w:szCs w:val="24"/>
        </w:rPr>
        <w:t>----END OF PROJECT----</w:t>
        <w:tab/>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IN" w:eastAsia="en-IN" w:bidi="ar-SA"/>
    </w:rPr>
  </w:style>
  <w:style w:type="paragraph" w:styleId="Heading1">
    <w:name w:val="heading 1"/>
    <w:uiPriority w:val="9"/>
    <w:qFormat/>
    <w:pPr>
      <w:widowControl/>
      <w:suppressAutoHyphens w:val="true"/>
      <w:bidi w:val="0"/>
      <w:spacing w:lineRule="auto" w:line="480" w:before="480" w:after="240"/>
      <w:jc w:val="start"/>
      <w:outlineLvl w:val="0"/>
    </w:pPr>
    <w:rPr>
      <w:rFonts w:ascii="Times New Roman" w:hAnsi="Times New Roman" w:eastAsia="Times New Roman" w:cs="Times New Roman"/>
      <w:b/>
      <w:bCs/>
      <w:color w:val="000000"/>
      <w:kern w:val="0"/>
      <w:sz w:val="28"/>
      <w:szCs w:val="28"/>
      <w:lang w:val="en-IN" w:eastAsia="en-IN" w:bidi="ar-SA"/>
    </w:rPr>
  </w:style>
  <w:style w:type="paragraph" w:styleId="Heading2">
    <w:name w:val="heading 2"/>
    <w:uiPriority w:val="9"/>
    <w:semiHidden/>
    <w:unhideWhenUsed/>
    <w:qFormat/>
    <w:pPr>
      <w:widowControl/>
      <w:suppressAutoHyphens w:val="true"/>
      <w:bidi w:val="0"/>
      <w:spacing w:lineRule="auto" w:line="480" w:before="360" w:after="200"/>
      <w:jc w:val="start"/>
      <w:outlineLvl w:val="1"/>
    </w:pPr>
    <w:rPr>
      <w:rFonts w:ascii="Times New Roman" w:hAnsi="Times New Roman" w:eastAsia="Times New Roman" w:cs="Times New Roman"/>
      <w:b/>
      <w:bCs/>
      <w:color w:val="000000"/>
      <w:kern w:val="0"/>
      <w:sz w:val="24"/>
      <w:szCs w:val="24"/>
      <w:lang w:val="en-IN" w:eastAsia="en-IN"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Times New Roman" w:hAnsi="Times New Roman" w:eastAsia="Times New Roman" w:cs="Times New Roman"/>
      <w:color w:val="1F4D78"/>
      <w:kern w:val="0"/>
      <w:sz w:val="24"/>
      <w:szCs w:val="24"/>
      <w:lang w:val="en-IN" w:eastAsia="en-IN"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4"/>
      <w:szCs w:val="24"/>
      <w:lang w:val="en-IN" w:eastAsia="en-IN"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Times New Roman" w:hAnsi="Times New Roman" w:eastAsia="Times New Roman" w:cs="Times New Roman"/>
      <w:color w:val="2E74B5"/>
      <w:kern w:val="0"/>
      <w:sz w:val="24"/>
      <w:szCs w:val="24"/>
      <w:lang w:val="en-IN" w:eastAsia="en-IN"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Times New Roman" w:hAnsi="Times New Roman" w:eastAsia="Times New Roman" w:cs="Times New Roman"/>
      <w:color w:val="1F4D78"/>
      <w:kern w:val="0"/>
      <w:sz w:val="24"/>
      <w:szCs w:val="24"/>
      <w:lang w:val="en-IN" w:eastAsia="en-IN"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uiPriority w:val="1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IN" w:eastAsia="en-IN"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IN" w:eastAsia="en-IN"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IN" w:eastAsia="en-IN"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IN" w:eastAsia="en-IN"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IN" w:eastAsia="en-IN" w:bidi="ar-SA"/>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 w:type="paragraph" w:styleId="TOC3">
    <w:name w:val="toc 3"/>
    <w:basedOn w:val="Index"/>
    <w:pPr>
      <w:tabs>
        <w:tab w:val="clear" w:pos="720"/>
        <w:tab w:val="right" w:pos="8793" w:leader="dot"/>
      </w:tabs>
      <w:ind w:hanging="0"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hemantborana/fmcg-distribution-analytics" TargetMode="External"/><Relationship Id="rId3" Type="http://schemas.openxmlformats.org/officeDocument/2006/relationships/hyperlink" Target="https://fmcg-distribution-analytics.streamlit.app/" TargetMode="External"/><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19.png"/><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49</TotalTime>
  <Application>LibreOffice/26.2.4.2$MacOSX_AARCH64 LibreOffice_project/0229ac93fcf0d7cbc6376066c6f35021cef002dc</Application>
  <AppVersion>15.0000</AppVersion>
  <Pages>95</Pages>
  <Words>16890</Words>
  <Characters>102692</Characters>
  <CharactersWithSpaces>119478</CharactersWithSpaces>
  <Paragraphs>896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2026-05-17T13:10:00Z</dcterms:created>
  <dc:creator>Un-named</dc:creator>
  <dc:description/>
  <dc:language>en-IN</dc:language>
  <cp:lastModifiedBy/>
  <cp:lastPrinted>2026-06-14T09:18:30Z</cp:lastPrinted>
  <dcterms:modified xsi:type="dcterms:W3CDTF">2026-06-15T04:19:28Z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