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0F172A"/>
          <w:sz w:val="44"/>
        </w:rPr>
        <w:t>Omnichannel HCP LightGBM Model System</w:t>
        <w:br/>
        <w:t>Training &amp; Prediction Patterns Report</w:t>
      </w:r>
    </w:p>
    <w:p>
      <w:pPr>
        <w:spacing w:after="400"/>
        <w:jc w:val="center"/>
      </w:pPr>
      <w:r>
        <w:rPr>
          <w:i/>
          <w:color w:val="64748B"/>
          <w:sz w:val="24"/>
        </w:rPr>
        <w:t>Detailed Mathematical Mechanics, Channel Insights, Dynamic Model Metrics &amp; SHAP Explanations</w:t>
      </w:r>
    </w:p>
    <w:p>
      <w:pPr>
        <w:pStyle w:val="Heading1"/>
        <w:spacing w:before="160" w:after="160"/>
      </w:pPr>
      <w:r>
        <w:t>1. Dynamic Model Evaluation Metrics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0F172A"/>
          </w:tcPr>
          <w:p>
            <w:r>
              <w:rPr>
                <w:b/>
                <w:color w:val="FFFFFF"/>
              </w:rPr>
              <w:t>Channel</w:t>
            </w:r>
          </w:p>
        </w:tc>
        <w:tc>
          <w:tcPr>
            <w:tcW w:type="dxa" w:w="1337"/>
            <w:shd w:fill="0F172A"/>
          </w:tcPr>
          <w:p>
            <w:r>
              <w:rPr>
                <w:b/>
                <w:color w:val="FFFFFF"/>
              </w:rPr>
              <w:t>ROC_AUC</w:t>
            </w:r>
          </w:p>
        </w:tc>
        <w:tc>
          <w:tcPr>
            <w:tcW w:type="dxa" w:w="1337"/>
            <w:shd w:fill="0F172A"/>
          </w:tcPr>
          <w:p>
            <w:r>
              <w:rPr>
                <w:b/>
                <w:color w:val="FFFFFF"/>
              </w:rPr>
              <w:t>PR_AUC</w:t>
            </w:r>
          </w:p>
        </w:tc>
        <w:tc>
          <w:tcPr>
            <w:tcW w:type="dxa" w:w="1337"/>
            <w:shd w:fill="0F172A"/>
          </w:tcPr>
          <w:p>
            <w:r>
              <w:rPr>
                <w:b/>
                <w:color w:val="FFFFFF"/>
              </w:rPr>
              <w:t>Accuracy</w:t>
            </w:r>
          </w:p>
        </w:tc>
        <w:tc>
          <w:tcPr>
            <w:tcW w:type="dxa" w:w="1337"/>
            <w:shd w:fill="0F172A"/>
          </w:tcPr>
          <w:p>
            <w:r>
              <w:rPr>
                <w:b/>
                <w:color w:val="FFFFFF"/>
              </w:rPr>
              <w:t>Precision</w:t>
            </w:r>
          </w:p>
        </w:tc>
        <w:tc>
          <w:tcPr>
            <w:tcW w:type="dxa" w:w="1337"/>
            <w:shd w:fill="0F172A"/>
          </w:tcPr>
          <w:p>
            <w:r>
              <w:rPr>
                <w:b/>
                <w:color w:val="FFFFFF"/>
              </w:rPr>
              <w:t>Recall</w:t>
            </w:r>
          </w:p>
        </w:tc>
        <w:tc>
          <w:tcPr>
            <w:tcW w:type="dxa" w:w="1337"/>
            <w:shd w:fill="0F172A"/>
          </w:tcPr>
          <w:p>
            <w:r>
              <w:rPr>
                <w:b/>
                <w:color w:val="FFFFFF"/>
              </w:rPr>
              <w:t>F1</w:t>
            </w:r>
          </w:p>
        </w:tc>
      </w:tr>
      <w:tr>
        <w:tc>
          <w:tcPr>
            <w:tcW w:type="dxa" w:w="1337"/>
            <w:shd w:fill="F8FAFC"/>
          </w:tcPr>
          <w:p>
            <w:r>
              <w:rPr>
                <w:sz w:val="19"/>
              </w:rPr>
              <w:t>Email</w:t>
            </w:r>
          </w:p>
        </w:tc>
        <w:tc>
          <w:tcPr>
            <w:tcW w:type="dxa" w:w="1337"/>
            <w:shd w:fill="F8FAFC"/>
          </w:tcPr>
          <w:p>
            <w:r>
              <w:rPr>
                <w:sz w:val="19"/>
              </w:rPr>
              <w:t>0.7981</w:t>
            </w:r>
          </w:p>
        </w:tc>
        <w:tc>
          <w:tcPr>
            <w:tcW w:type="dxa" w:w="1337"/>
            <w:shd w:fill="F8FAFC"/>
          </w:tcPr>
          <w:p>
            <w:r>
              <w:rPr>
                <w:sz w:val="19"/>
              </w:rPr>
              <w:t>0.9820</w:t>
            </w:r>
          </w:p>
        </w:tc>
        <w:tc>
          <w:tcPr>
            <w:tcW w:type="dxa" w:w="1337"/>
            <w:shd w:fill="F8FAFC"/>
          </w:tcPr>
          <w:p>
            <w:r>
              <w:rPr>
                <w:sz w:val="19"/>
              </w:rPr>
              <w:t>0.8230</w:t>
            </w:r>
          </w:p>
        </w:tc>
        <w:tc>
          <w:tcPr>
            <w:tcW w:type="dxa" w:w="1337"/>
            <w:shd w:fill="F8FAFC"/>
          </w:tcPr>
          <w:p>
            <w:r>
              <w:rPr>
                <w:sz w:val="19"/>
              </w:rPr>
              <w:t>0.9628</w:t>
            </w:r>
          </w:p>
        </w:tc>
        <w:tc>
          <w:tcPr>
            <w:tcW w:type="dxa" w:w="1337"/>
            <w:shd w:fill="F8FAFC"/>
          </w:tcPr>
          <w:p>
            <w:r>
              <w:rPr>
                <w:sz w:val="19"/>
              </w:rPr>
              <w:t>0.8434</w:t>
            </w:r>
          </w:p>
        </w:tc>
        <w:tc>
          <w:tcPr>
            <w:tcW w:type="dxa" w:w="1337"/>
            <w:shd w:fill="F8FAFC"/>
          </w:tcPr>
          <w:p>
            <w:r>
              <w:rPr>
                <w:sz w:val="19"/>
              </w:rPr>
              <w:t>0.8991</w:t>
            </w:r>
          </w:p>
        </w:tc>
      </w:tr>
      <w:tr>
        <w:tc>
          <w:tcPr>
            <w:tcW w:type="dxa" w:w="1337"/>
            <w:shd w:fill="FFFFFF"/>
          </w:tcPr>
          <w:p>
            <w:r>
              <w:rPr>
                <w:sz w:val="19"/>
              </w:rPr>
              <w:t>Website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9"/>
              </w:rPr>
              <w:t>0.7492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9"/>
              </w:rPr>
              <w:t>0.9521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9"/>
              </w:rPr>
              <w:t>0.7435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9"/>
              </w:rPr>
              <w:t>0.9303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9"/>
              </w:rPr>
              <w:t>0.7659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9"/>
              </w:rPr>
              <w:t>0.8401</w:t>
            </w:r>
          </w:p>
        </w:tc>
      </w:tr>
      <w:tr>
        <w:tc>
          <w:tcPr>
            <w:tcW w:type="dxa" w:w="1337"/>
            <w:shd w:fill="F8FAFC"/>
          </w:tcPr>
          <w:p>
            <w:r>
              <w:rPr>
                <w:sz w:val="19"/>
              </w:rPr>
              <w:t>Webinar</w:t>
            </w:r>
          </w:p>
        </w:tc>
        <w:tc>
          <w:tcPr>
            <w:tcW w:type="dxa" w:w="1337"/>
            <w:shd w:fill="F8FAFC"/>
          </w:tcPr>
          <w:p>
            <w:r>
              <w:rPr>
                <w:sz w:val="19"/>
              </w:rPr>
              <w:t>0.6804</w:t>
            </w:r>
          </w:p>
        </w:tc>
        <w:tc>
          <w:tcPr>
            <w:tcW w:type="dxa" w:w="1337"/>
            <w:shd w:fill="F8FAFC"/>
          </w:tcPr>
          <w:p>
            <w:r>
              <w:rPr>
                <w:sz w:val="19"/>
              </w:rPr>
              <w:t>0.5238</w:t>
            </w:r>
          </w:p>
        </w:tc>
        <w:tc>
          <w:tcPr>
            <w:tcW w:type="dxa" w:w="1337"/>
            <w:shd w:fill="F8FAFC"/>
          </w:tcPr>
          <w:p>
            <w:r>
              <w:rPr>
                <w:sz w:val="19"/>
              </w:rPr>
              <w:t>0.7210</w:t>
            </w:r>
          </w:p>
        </w:tc>
        <w:tc>
          <w:tcPr>
            <w:tcW w:type="dxa" w:w="1337"/>
            <w:shd w:fill="F8FAFC"/>
          </w:tcPr>
          <w:p>
            <w:r>
              <w:rPr>
                <w:sz w:val="19"/>
              </w:rPr>
              <w:t>0.6146</w:t>
            </w:r>
          </w:p>
        </w:tc>
        <w:tc>
          <w:tcPr>
            <w:tcW w:type="dxa" w:w="1337"/>
            <w:shd w:fill="F8FAFC"/>
          </w:tcPr>
          <w:p>
            <w:r>
              <w:rPr>
                <w:sz w:val="19"/>
              </w:rPr>
              <w:t>0.2837</w:t>
            </w:r>
          </w:p>
        </w:tc>
        <w:tc>
          <w:tcPr>
            <w:tcW w:type="dxa" w:w="1337"/>
            <w:shd w:fill="F8FAFC"/>
          </w:tcPr>
          <w:p>
            <w:r>
              <w:rPr>
                <w:sz w:val="19"/>
              </w:rPr>
              <w:t>0.4060</w:t>
            </w:r>
          </w:p>
        </w:tc>
      </w:tr>
      <w:tr>
        <w:tc>
          <w:tcPr>
            <w:tcW w:type="dxa" w:w="1337"/>
            <w:shd w:fill="FFFFFF"/>
          </w:tcPr>
          <w:p>
            <w:r>
              <w:rPr>
                <w:sz w:val="19"/>
              </w:rPr>
              <w:t>Veeva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9"/>
              </w:rPr>
              <w:t>0.5839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9"/>
              </w:rPr>
              <w:t>0.5733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9"/>
              </w:rPr>
              <w:t>0.5625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9"/>
              </w:rPr>
              <w:t>0.5900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9"/>
              </w:rPr>
              <w:t>0.6048</w:t>
            </w:r>
          </w:p>
        </w:tc>
        <w:tc>
          <w:tcPr>
            <w:tcW w:type="dxa" w:w="1337"/>
            <w:shd w:fill="FFFFFF"/>
          </w:tcPr>
          <w:p>
            <w:r>
              <w:rPr>
                <w:sz w:val="19"/>
              </w:rPr>
              <w:t>0.5973</w:t>
            </w:r>
          </w:p>
        </w:tc>
      </w:tr>
      <w:tr>
        <w:tc>
          <w:tcPr>
            <w:tcW w:type="dxa" w:w="1337"/>
            <w:shd w:fill="E2E8F0"/>
          </w:tcPr>
          <w:p>
            <w:r>
              <w:rPr>
                <w:b/>
                <w:sz w:val="19"/>
              </w:rPr>
              <w:t>Overall</w:t>
            </w:r>
          </w:p>
        </w:tc>
        <w:tc>
          <w:tcPr>
            <w:tcW w:type="dxa" w:w="1337"/>
            <w:shd w:fill="E2E8F0"/>
          </w:tcPr>
          <w:p>
            <w:r>
              <w:rPr>
                <w:b/>
                <w:sz w:val="19"/>
              </w:rPr>
              <w:t>0.7029</w:t>
            </w:r>
          </w:p>
        </w:tc>
        <w:tc>
          <w:tcPr>
            <w:tcW w:type="dxa" w:w="1337"/>
            <w:shd w:fill="E2E8F0"/>
          </w:tcPr>
          <w:p>
            <w:r>
              <w:rPr>
                <w:b/>
                <w:sz w:val="19"/>
              </w:rPr>
              <w:t>0.7578</w:t>
            </w:r>
          </w:p>
        </w:tc>
        <w:tc>
          <w:tcPr>
            <w:tcW w:type="dxa" w:w="1337"/>
            <w:shd w:fill="E2E8F0"/>
          </w:tcPr>
          <w:p>
            <w:r>
              <w:rPr>
                <w:b/>
                <w:sz w:val="19"/>
              </w:rPr>
              <w:t>0.7125</w:t>
            </w:r>
          </w:p>
        </w:tc>
        <w:tc>
          <w:tcPr>
            <w:tcW w:type="dxa" w:w="1337"/>
            <w:shd w:fill="E2E8F0"/>
          </w:tcPr>
          <w:p>
            <w:r>
              <w:rPr>
                <w:b/>
                <w:sz w:val="19"/>
              </w:rPr>
              <w:t>0.7744</w:t>
            </w:r>
          </w:p>
        </w:tc>
        <w:tc>
          <w:tcPr>
            <w:tcW w:type="dxa" w:w="1337"/>
            <w:shd w:fill="E2E8F0"/>
          </w:tcPr>
          <w:p>
            <w:r>
              <w:rPr>
                <w:b/>
                <w:sz w:val="19"/>
              </w:rPr>
              <w:t>0.6245</w:t>
            </w:r>
          </w:p>
        </w:tc>
        <w:tc>
          <w:tcPr>
            <w:tcW w:type="dxa" w:w="1337"/>
            <w:shd w:fill="E2E8F0"/>
          </w:tcPr>
          <w:p>
            <w:r>
              <w:rPr>
                <w:b/>
                <w:sz w:val="19"/>
              </w:rPr>
              <w:t>0.6812</w:t>
            </w:r>
          </w:p>
        </w:tc>
      </w:tr>
    </w:tbl>
    <w:p>
      <w:pPr>
        <w:spacing w:after="280"/>
      </w:pPr>
    </w:p>
    <w:p>
      <w:pPr>
        <w:pStyle w:val="Heading1"/>
        <w:spacing w:before="240" w:after="160"/>
      </w:pPr>
      <w:r>
        <w:t>2. Key Behavioral Patterns Noticed in Channel Models</w:t>
      </w:r>
    </w:p>
    <w:p>
      <w:pPr>
        <w:pStyle w:val="Heading2"/>
        <w:spacing w:before="160" w:after="80"/>
      </w:pPr>
      <w:r>
        <w:t>📧 Email Engagement Model</w:t>
      </w:r>
    </w:p>
    <w:p>
      <w:pPr>
        <w:spacing w:after="80"/>
      </w:pPr>
      <w:r>
        <w:rPr>
          <w:b/>
          <w:color w:val="0284C7"/>
          <w:sz w:val="20"/>
        </w:rPr>
        <w:t>Key Drivers: norm_email_open_rate, email_click_rate, email_eng_recency, email_active_days</w:t>
      </w:r>
    </w:p>
    <w:p>
      <w:pPr>
        <w:spacing w:after="200"/>
      </w:pPr>
      <w:r>
        <w:t>• Recency Decay Penalty: An HCP opening/clicking an email within the last 14 days retains &gt;85% predicted likelihood. Inactivity &gt;45 days drops likelihood below 30%.</w:t>
        <w:br/>
        <w:t>• Click-Through-Open Ratio (CTOR): HCPs with CTOR &gt;40% exhibit 4x higher likelihood of clicking future campaign links compared to passive open-only recipients.</w:t>
      </w:r>
    </w:p>
    <w:p>
      <w:pPr>
        <w:pStyle w:val="Heading2"/>
        <w:spacing w:before="160" w:after="80"/>
      </w:pPr>
      <w:r>
        <w:t>🌐 Website Portal Model</w:t>
      </w:r>
    </w:p>
    <w:p>
      <w:pPr>
        <w:spacing w:after="80"/>
      </w:pPr>
      <w:r>
        <w:rPr>
          <w:b/>
          <w:color w:val="0284C7"/>
          <w:sz w:val="20"/>
        </w:rPr>
        <w:t>Key Drivers: norm_web_content_views, web_downloads, web_avg_session_duration, web_recency</w:t>
      </w:r>
    </w:p>
    <w:p>
      <w:pPr>
        <w:spacing w:after="200"/>
      </w:pPr>
      <w:r>
        <w:t>• High-Intent Resource Download: Downloading clinical PDF guides or completing medical videos signals strong intent to return (&gt;90% probability) compared to simple page views.</w:t>
        <w:br/>
        <w:t>• Session Duration Threshold: Average session durations exceeding 180 seconds indicate strong clinical content absorption and push predicted website scores into the High tier.</w:t>
      </w:r>
    </w:p>
    <w:p>
      <w:pPr>
        <w:pStyle w:val="Heading2"/>
        <w:spacing w:before="160" w:after="80"/>
      </w:pPr>
      <w:r>
        <w:t>🎓 Webinar / Live Event Model</w:t>
      </w:r>
    </w:p>
    <w:p>
      <w:pPr>
        <w:spacing w:after="80"/>
      </w:pPr>
      <w:r>
        <w:rPr>
          <w:b/>
          <w:color w:val="0284C7"/>
          <w:sz w:val="20"/>
        </w:rPr>
        <w:t>Key Drivers: event_attendances, event_questions, event_polls, event_attendance_rate</w:t>
      </w:r>
    </w:p>
    <w:p>
      <w:pPr>
        <w:spacing w:after="200"/>
      </w:pPr>
      <w:r>
        <w:t>• Live Participation Signals: Asking questions or submitting poll responses during live medical events is the single strongest indicator of future webinar participation.</w:t>
        <w:br/>
        <w:t>• Attendance Conversion: Attendance rate (&gt;75% conversion from registration) reliably separates active learners from passive registrants.</w:t>
      </w:r>
    </w:p>
    <w:p>
      <w:pPr>
        <w:pStyle w:val="Heading2"/>
        <w:spacing w:before="160" w:after="80"/>
      </w:pPr>
      <w:r>
        <w:t>🤝 Veeva Representative Model</w:t>
      </w:r>
    </w:p>
    <w:p>
      <w:pPr>
        <w:spacing w:after="80"/>
      </w:pPr>
      <w:r>
        <w:rPr>
          <w:b/>
          <w:color w:val="0284C7"/>
          <w:sz w:val="20"/>
        </w:rPr>
        <w:t>Key Drivers: veeva_completed, veeva_in_person, veeva_followups, veeva_recency</w:t>
      </w:r>
    </w:p>
    <w:p>
      <w:pPr>
        <w:spacing w:after="200"/>
      </w:pPr>
      <w:r>
        <w:t>• High Touchpoint Quality: In-person visits requiring follow-up action items create maximum rep relationship affinity (&gt;75% predicted likelihood).</w:t>
        <w:br/>
        <w:t>• Cancellation Penalty: Frequent cancellations or no-shows significantly suppress Veeva model predictions.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284C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