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141C" w14:textId="77777777" w:rsidR="00DB4454" w:rsidRPr="00A53AB4" w:rsidRDefault="00DB4454" w:rsidP="00DB4454">
      <w:pPr>
        <w:spacing w:line="360" w:lineRule="auto"/>
        <w:rPr>
          <w:rFonts w:ascii="Times New Roman" w:hAnsi="Times New Roman" w:cs="Times New Roman"/>
          <w:b/>
          <w:bCs/>
          <w:sz w:val="32"/>
          <w:szCs w:val="32"/>
        </w:rPr>
      </w:pPr>
    </w:p>
    <w:p w14:paraId="0FE8457C" w14:textId="77777777" w:rsidR="00DB4454" w:rsidRPr="00A53AB4" w:rsidRDefault="00DB4454" w:rsidP="00DB4454">
      <w:pPr>
        <w:spacing w:line="360" w:lineRule="auto"/>
        <w:rPr>
          <w:rFonts w:ascii="Times New Roman" w:hAnsi="Times New Roman" w:cs="Times New Roman"/>
          <w:b/>
          <w:bCs/>
          <w:sz w:val="32"/>
          <w:szCs w:val="32"/>
        </w:rPr>
      </w:pPr>
    </w:p>
    <w:p w14:paraId="291F46B2" w14:textId="4945ED86" w:rsidR="00DB4454" w:rsidRPr="00A53AB4" w:rsidRDefault="00DB4454" w:rsidP="00DB4454">
      <w:pPr>
        <w:spacing w:line="360" w:lineRule="auto"/>
        <w:jc w:val="center"/>
        <w:rPr>
          <w:rFonts w:ascii="Times New Roman" w:hAnsi="Times New Roman" w:cs="Times New Roman"/>
          <w:b/>
          <w:bCs/>
          <w:color w:val="000000"/>
          <w:sz w:val="32"/>
          <w:szCs w:val="32"/>
          <w:lang w:val="en-US" w:eastAsia="en-IN"/>
        </w:rPr>
      </w:pPr>
      <w:r w:rsidRPr="00A53AB4">
        <w:rPr>
          <w:rFonts w:ascii="Times New Roman" w:hAnsi="Times New Roman" w:cs="Times New Roman"/>
          <w:b/>
          <w:bCs/>
          <w:sz w:val="32"/>
          <w:szCs w:val="32"/>
        </w:rPr>
        <w:t>FORECAST-DRIVEN ENERGY-AWARE SCHEDULING FOR SMART MANUFACTURING</w:t>
      </w:r>
    </w:p>
    <w:p w14:paraId="0AA4CA4A"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
    <w:p w14:paraId="0C14CDA4"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
    <w:p w14:paraId="6F513968" w14:textId="06EBC001" w:rsidR="00DB4454" w:rsidRPr="00A53AB4" w:rsidRDefault="00DB4454" w:rsidP="00DB4454">
      <w:pPr>
        <w:spacing w:line="360" w:lineRule="auto"/>
        <w:jc w:val="center"/>
        <w:rPr>
          <w:rFonts w:ascii="Times New Roman" w:hAnsi="Times New Roman" w:cs="Times New Roman"/>
          <w:b/>
          <w:bCs/>
          <w:sz w:val="28"/>
          <w:szCs w:val="28"/>
        </w:rPr>
      </w:pPr>
      <w:r w:rsidRPr="00A53AB4">
        <w:rPr>
          <w:rFonts w:ascii="Times New Roman" w:hAnsi="Times New Roman" w:cs="Times New Roman"/>
          <w:b/>
          <w:bCs/>
          <w:sz w:val="28"/>
          <w:szCs w:val="28"/>
        </w:rPr>
        <w:t xml:space="preserve">AD23A38  – Manufacturing Analytics  </w:t>
      </w:r>
    </w:p>
    <w:p w14:paraId="3C45047C" w14:textId="4D93DF7B"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sz w:val="28"/>
          <w:szCs w:val="28"/>
        </w:rPr>
        <w:t xml:space="preserve">Project Report </w:t>
      </w:r>
    </w:p>
    <w:p w14:paraId="1A1431BC"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
    <w:p w14:paraId="45FE566A"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
    <w:p w14:paraId="13C4C2F4" w14:textId="0865D739"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color w:val="000000"/>
          <w:sz w:val="28"/>
          <w:szCs w:val="28"/>
          <w:lang w:val="en-US" w:eastAsia="en-IN"/>
        </w:rPr>
        <w:t>Submitted by</w:t>
      </w:r>
    </w:p>
    <w:p w14:paraId="7E77D351" w14:textId="19F7FA05"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color w:val="000000"/>
          <w:sz w:val="28"/>
          <w:szCs w:val="28"/>
          <w:lang w:val="en-US" w:eastAsia="en-IN"/>
        </w:rPr>
        <w:t>Hemanth Kumar D               231801057</w:t>
      </w:r>
    </w:p>
    <w:p w14:paraId="55F2D1F8" w14:textId="10BE2FBA"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color w:val="000000"/>
          <w:sz w:val="28"/>
          <w:szCs w:val="28"/>
          <w:lang w:val="en-US" w:eastAsia="en-IN"/>
        </w:rPr>
        <w:t>Balaji R                                   231801018</w:t>
      </w:r>
    </w:p>
    <w:p w14:paraId="5F6E078F" w14:textId="01F3FE0D"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roofErr w:type="spellStart"/>
      <w:r w:rsidRPr="00A53AB4">
        <w:rPr>
          <w:rFonts w:ascii="Times New Roman" w:hAnsi="Times New Roman" w:cs="Times New Roman"/>
          <w:b/>
          <w:bCs/>
          <w:color w:val="000000"/>
          <w:sz w:val="28"/>
          <w:szCs w:val="28"/>
          <w:lang w:val="en-US" w:eastAsia="en-IN"/>
        </w:rPr>
        <w:t>Bijlesh</w:t>
      </w:r>
      <w:proofErr w:type="spellEnd"/>
      <w:r w:rsidRPr="00A53AB4">
        <w:rPr>
          <w:rFonts w:ascii="Times New Roman" w:hAnsi="Times New Roman" w:cs="Times New Roman"/>
          <w:b/>
          <w:bCs/>
          <w:color w:val="000000"/>
          <w:sz w:val="28"/>
          <w:szCs w:val="28"/>
          <w:lang w:val="en-US" w:eastAsia="en-IN"/>
        </w:rPr>
        <w:t xml:space="preserve"> S                                  231801501         </w:t>
      </w:r>
    </w:p>
    <w:p w14:paraId="1B24EB71"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
    <w:p w14:paraId="72691681"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
    <w:p w14:paraId="156509C5" w14:textId="77777777" w:rsidR="00DB4454" w:rsidRPr="00A53AB4" w:rsidRDefault="00DB4454" w:rsidP="00DB4454">
      <w:pPr>
        <w:spacing w:line="360" w:lineRule="auto"/>
        <w:rPr>
          <w:rFonts w:ascii="Times New Roman" w:hAnsi="Times New Roman" w:cs="Times New Roman"/>
          <w:b/>
          <w:bCs/>
          <w:color w:val="000000"/>
          <w:sz w:val="28"/>
          <w:szCs w:val="28"/>
          <w:lang w:val="en-US" w:eastAsia="en-IN"/>
        </w:rPr>
      </w:pPr>
    </w:p>
    <w:p w14:paraId="583904A6"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p>
    <w:p w14:paraId="44914581" w14:textId="603479FF"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color w:val="000000"/>
          <w:sz w:val="28"/>
          <w:szCs w:val="28"/>
          <w:lang w:val="en-US" w:eastAsia="en-IN"/>
        </w:rPr>
        <w:t>Department of Artificial Intelligence and Data Science</w:t>
      </w:r>
    </w:p>
    <w:p w14:paraId="14243C69" w14:textId="63A4CD30"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noProof/>
          <w:color w:val="000000"/>
          <w:sz w:val="28"/>
          <w:szCs w:val="28"/>
          <w:lang w:val="en-US" w:eastAsia="en-IN"/>
        </w:rPr>
        <w:drawing>
          <wp:inline distT="0" distB="0" distL="0" distR="0" wp14:anchorId="2E8186BC" wp14:editId="0C7AF20E">
            <wp:extent cx="3619500" cy="541020"/>
            <wp:effectExtent l="0" t="0" r="0" b="0"/>
            <wp:docPr id="19192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2589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541020"/>
                    </a:xfrm>
                    <a:prstGeom prst="rect">
                      <a:avLst/>
                    </a:prstGeom>
                    <a:noFill/>
                    <a:ln>
                      <a:noFill/>
                    </a:ln>
                  </pic:spPr>
                </pic:pic>
              </a:graphicData>
            </a:graphic>
          </wp:inline>
        </w:drawing>
      </w:r>
    </w:p>
    <w:p w14:paraId="4D2E33C1"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color w:val="000000"/>
          <w:sz w:val="28"/>
          <w:szCs w:val="28"/>
          <w:lang w:val="en-US" w:eastAsia="en-IN"/>
        </w:rPr>
        <w:t>(An Autonomous Institution, Affiliated to Anna University, Chennai)</w:t>
      </w:r>
    </w:p>
    <w:p w14:paraId="00844204" w14:textId="77777777" w:rsidR="00DB4454" w:rsidRPr="00A53AB4" w:rsidRDefault="00DB4454" w:rsidP="00DB4454">
      <w:pPr>
        <w:spacing w:line="360" w:lineRule="auto"/>
        <w:jc w:val="center"/>
        <w:rPr>
          <w:rFonts w:ascii="Times New Roman" w:hAnsi="Times New Roman" w:cs="Times New Roman"/>
          <w:b/>
          <w:bCs/>
          <w:color w:val="000000"/>
          <w:sz w:val="28"/>
          <w:szCs w:val="28"/>
          <w:lang w:val="en-US" w:eastAsia="en-IN"/>
        </w:rPr>
      </w:pPr>
      <w:r w:rsidRPr="00A53AB4">
        <w:rPr>
          <w:rFonts w:ascii="Times New Roman" w:hAnsi="Times New Roman" w:cs="Times New Roman"/>
          <w:b/>
          <w:bCs/>
          <w:color w:val="000000"/>
          <w:sz w:val="28"/>
          <w:szCs w:val="28"/>
          <w:lang w:val="en-US" w:eastAsia="en-IN"/>
        </w:rPr>
        <w:t>SEPTEMBER 2026</w:t>
      </w:r>
    </w:p>
    <w:p w14:paraId="033E60EB" w14:textId="0CD304F7" w:rsidR="00203ABC" w:rsidRPr="00A53AB4" w:rsidRDefault="00203ABC" w:rsidP="00203ABC">
      <w:pPr>
        <w:spacing w:line="360" w:lineRule="auto"/>
        <w:rPr>
          <w:rFonts w:ascii="Times New Roman" w:hAnsi="Times New Roman" w:cs="Times New Roman"/>
          <w:b/>
          <w:bCs/>
          <w:color w:val="000000"/>
          <w:sz w:val="28"/>
          <w:szCs w:val="28"/>
          <w:lang w:eastAsia="en-IN"/>
        </w:rPr>
      </w:pPr>
    </w:p>
    <w:p w14:paraId="5236C685" w14:textId="77777777" w:rsidR="00DB4454" w:rsidRPr="00A53AB4" w:rsidRDefault="00DB4454" w:rsidP="00203ABC">
      <w:pPr>
        <w:spacing w:line="360" w:lineRule="auto"/>
        <w:rPr>
          <w:rFonts w:ascii="Times New Roman" w:hAnsi="Times New Roman" w:cs="Times New Roman"/>
          <w:b/>
          <w:bCs/>
          <w:color w:val="000000"/>
          <w:sz w:val="28"/>
          <w:szCs w:val="28"/>
          <w:lang w:eastAsia="en-IN"/>
        </w:rPr>
      </w:pPr>
    </w:p>
    <w:p w14:paraId="0AC10F5F" w14:textId="77777777" w:rsidR="00DB4454" w:rsidRPr="00A53AB4" w:rsidRDefault="00DB4454" w:rsidP="00203ABC">
      <w:pPr>
        <w:spacing w:line="360" w:lineRule="auto"/>
        <w:rPr>
          <w:rFonts w:ascii="Times New Roman" w:hAnsi="Times New Roman" w:cs="Times New Roman"/>
          <w:b/>
          <w:bCs/>
          <w:color w:val="000000"/>
          <w:sz w:val="28"/>
          <w:szCs w:val="28"/>
          <w:lang w:eastAsia="en-IN"/>
        </w:rPr>
      </w:pPr>
    </w:p>
    <w:p w14:paraId="0B18D99C" w14:textId="167232B4" w:rsidR="00203ABC" w:rsidRPr="00A53AB4" w:rsidRDefault="00DB4454" w:rsidP="00203ABC">
      <w:pPr>
        <w:jc w:val="both"/>
        <w:rPr>
          <w:rFonts w:ascii="Times New Roman" w:hAnsi="Times New Roman" w:cs="Times New Roman"/>
          <w:b/>
          <w:bCs/>
          <w:sz w:val="28"/>
          <w:szCs w:val="28"/>
        </w:rPr>
      </w:pPr>
      <w:r w:rsidRPr="00A53AB4">
        <w:rPr>
          <w:rFonts w:ascii="Times New Roman" w:hAnsi="Times New Roman" w:cs="Times New Roman"/>
          <w:noProof/>
          <w:lang w:eastAsia="en-GB" w:bidi="ta-IN"/>
        </w:rPr>
        <w:drawing>
          <wp:anchor distT="0" distB="0" distL="114300" distR="114300" simplePos="0" relativeHeight="251658240" behindDoc="1" locked="0" layoutInCell="1" allowOverlap="1" wp14:anchorId="2AF766E2" wp14:editId="360FD4FE">
            <wp:simplePos x="0" y="0"/>
            <wp:positionH relativeFrom="margin">
              <wp:align>center</wp:align>
            </wp:positionH>
            <wp:positionV relativeFrom="paragraph">
              <wp:posOffset>14605</wp:posOffset>
            </wp:positionV>
            <wp:extent cx="5175885" cy="818515"/>
            <wp:effectExtent l="0" t="0" r="5715" b="635"/>
            <wp:wrapNone/>
            <wp:docPr id="605627092"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5885" cy="818515"/>
                    </a:xfrm>
                    <a:prstGeom prst="rect">
                      <a:avLst/>
                    </a:prstGeom>
                    <a:noFill/>
                    <a:ln>
                      <a:noFill/>
                    </a:ln>
                  </pic:spPr>
                </pic:pic>
              </a:graphicData>
            </a:graphic>
          </wp:anchor>
        </w:drawing>
      </w:r>
      <w:r w:rsidRPr="00A53AB4">
        <w:rPr>
          <w:rFonts w:ascii="Times New Roman" w:hAnsi="Times New Roman" w:cs="Times New Roman"/>
          <w:b/>
          <w:bCs/>
          <w:sz w:val="28"/>
          <w:szCs w:val="28"/>
        </w:rPr>
        <w:tab/>
      </w:r>
    </w:p>
    <w:p w14:paraId="3F18DBA2" w14:textId="228BD4C1" w:rsidR="00DB4454" w:rsidRPr="00A53AB4" w:rsidRDefault="00DB4454" w:rsidP="00203ABC">
      <w:pPr>
        <w:pStyle w:val="BodyText"/>
        <w:ind w:left="1440" w:firstLine="720"/>
        <w:rPr>
          <w:b/>
          <w:bCs/>
          <w:w w:val="105"/>
          <w:sz w:val="36"/>
          <w:szCs w:val="36"/>
        </w:rPr>
      </w:pPr>
    </w:p>
    <w:p w14:paraId="40F0897E" w14:textId="77777777" w:rsidR="00DB4454" w:rsidRPr="00A53AB4" w:rsidRDefault="00DB4454" w:rsidP="00203ABC">
      <w:pPr>
        <w:pStyle w:val="BodyText"/>
        <w:ind w:left="1440" w:firstLine="720"/>
        <w:rPr>
          <w:b/>
          <w:bCs/>
          <w:w w:val="105"/>
          <w:sz w:val="36"/>
          <w:szCs w:val="36"/>
        </w:rPr>
      </w:pPr>
    </w:p>
    <w:p w14:paraId="5AA7CFE9" w14:textId="77777777" w:rsidR="00DB4454" w:rsidRPr="00A53AB4" w:rsidRDefault="00DB4454" w:rsidP="00203ABC">
      <w:pPr>
        <w:pStyle w:val="BodyText"/>
        <w:ind w:left="1440" w:firstLine="720"/>
        <w:rPr>
          <w:b/>
          <w:bCs/>
          <w:w w:val="105"/>
          <w:sz w:val="36"/>
          <w:szCs w:val="36"/>
        </w:rPr>
      </w:pPr>
    </w:p>
    <w:p w14:paraId="7E7CD179" w14:textId="77777777" w:rsidR="00DB4454" w:rsidRPr="00A53AB4" w:rsidRDefault="00DB4454" w:rsidP="00203ABC">
      <w:pPr>
        <w:pStyle w:val="BodyText"/>
        <w:ind w:left="1440" w:firstLine="720"/>
        <w:rPr>
          <w:b/>
          <w:bCs/>
          <w:w w:val="105"/>
          <w:sz w:val="36"/>
          <w:szCs w:val="36"/>
        </w:rPr>
      </w:pPr>
    </w:p>
    <w:p w14:paraId="5360FF07" w14:textId="7DF36BD5" w:rsidR="00203ABC" w:rsidRPr="00A53AB4" w:rsidRDefault="00203ABC" w:rsidP="00DB4454">
      <w:pPr>
        <w:pStyle w:val="BodyText"/>
        <w:ind w:left="2160" w:firstLine="720"/>
        <w:rPr>
          <w:b/>
          <w:bCs/>
          <w:sz w:val="28"/>
          <w:szCs w:val="28"/>
        </w:rPr>
      </w:pPr>
      <w:r w:rsidRPr="00A53AB4">
        <w:rPr>
          <w:b/>
          <w:bCs/>
          <w:w w:val="105"/>
          <w:sz w:val="28"/>
          <w:szCs w:val="28"/>
        </w:rPr>
        <w:t>BONAFIDE</w:t>
      </w:r>
      <w:r w:rsidRPr="00A53AB4">
        <w:rPr>
          <w:b/>
          <w:bCs/>
          <w:spacing w:val="9"/>
          <w:w w:val="105"/>
          <w:sz w:val="28"/>
          <w:szCs w:val="28"/>
        </w:rPr>
        <w:t xml:space="preserve"> </w:t>
      </w:r>
      <w:r w:rsidRPr="00A53AB4">
        <w:rPr>
          <w:b/>
          <w:bCs/>
          <w:w w:val="105"/>
          <w:sz w:val="28"/>
          <w:szCs w:val="28"/>
        </w:rPr>
        <w:t>CERTIFICATE</w:t>
      </w:r>
    </w:p>
    <w:p w14:paraId="4B2499B5" w14:textId="77777777" w:rsidR="00203ABC" w:rsidRPr="00A53AB4" w:rsidRDefault="00203ABC" w:rsidP="00203ABC">
      <w:pPr>
        <w:pStyle w:val="BodyText"/>
        <w:rPr>
          <w:sz w:val="20"/>
        </w:rPr>
      </w:pPr>
    </w:p>
    <w:p w14:paraId="56298E11" w14:textId="77777777" w:rsidR="00203ABC" w:rsidRPr="00A53AB4" w:rsidRDefault="00203ABC" w:rsidP="00203ABC">
      <w:pPr>
        <w:pStyle w:val="BodyText"/>
        <w:rPr>
          <w:sz w:val="20"/>
        </w:rPr>
      </w:pPr>
    </w:p>
    <w:p w14:paraId="133C0FCD" w14:textId="77777777" w:rsidR="00203ABC" w:rsidRPr="00A53AB4" w:rsidRDefault="00203ABC" w:rsidP="00203ABC">
      <w:pPr>
        <w:jc w:val="both"/>
        <w:rPr>
          <w:rFonts w:ascii="Times New Roman" w:hAnsi="Times New Roman" w:cs="Times New Roman"/>
          <w:b/>
          <w:bCs/>
          <w:sz w:val="28"/>
          <w:szCs w:val="28"/>
        </w:rPr>
      </w:pPr>
    </w:p>
    <w:p w14:paraId="0236D4FD" w14:textId="77777777" w:rsidR="00203ABC" w:rsidRPr="00A53AB4" w:rsidRDefault="00203ABC" w:rsidP="00203ABC">
      <w:pPr>
        <w:spacing w:before="254" w:line="369" w:lineRule="auto"/>
        <w:ind w:left="709" w:right="679"/>
        <w:jc w:val="both"/>
        <w:rPr>
          <w:rFonts w:ascii="Times New Roman" w:hAnsi="Times New Roman" w:cs="Times New Roman"/>
          <w:sz w:val="28"/>
          <w:szCs w:val="28"/>
        </w:rPr>
      </w:pPr>
      <w:r w:rsidRPr="00A53AB4">
        <w:rPr>
          <w:rFonts w:ascii="Times New Roman" w:hAnsi="Times New Roman" w:cs="Times New Roman"/>
          <w:sz w:val="28"/>
          <w:szCs w:val="28"/>
        </w:rPr>
        <w:t>Certified that this mini-project report “</w:t>
      </w:r>
      <w:r w:rsidRPr="00A53AB4">
        <w:rPr>
          <w:rFonts w:ascii="Times New Roman" w:hAnsi="Times New Roman" w:cs="Times New Roman"/>
          <w:b/>
          <w:bCs/>
          <w:sz w:val="28"/>
          <w:szCs w:val="28"/>
        </w:rPr>
        <w:t>Forecast-Driven Energy-Aware Scheduling for Smart Manufacturing</w:t>
      </w:r>
      <w:r w:rsidRPr="00A53AB4">
        <w:rPr>
          <w:rFonts w:ascii="Times New Roman" w:hAnsi="Times New Roman" w:cs="Times New Roman"/>
          <w:sz w:val="28"/>
          <w:szCs w:val="28"/>
        </w:rPr>
        <w:t xml:space="preserve">”  is the </w:t>
      </w:r>
      <w:proofErr w:type="spellStart"/>
      <w:r w:rsidRPr="00A53AB4">
        <w:rPr>
          <w:rFonts w:ascii="Times New Roman" w:hAnsi="Times New Roman" w:cs="Times New Roman"/>
          <w:sz w:val="28"/>
          <w:szCs w:val="28"/>
        </w:rPr>
        <w:t>bonafide</w:t>
      </w:r>
      <w:proofErr w:type="spellEnd"/>
      <w:r w:rsidRPr="00A53AB4">
        <w:rPr>
          <w:rFonts w:ascii="Times New Roman" w:hAnsi="Times New Roman" w:cs="Times New Roman"/>
          <w:sz w:val="28"/>
          <w:szCs w:val="28"/>
        </w:rPr>
        <w:t xml:space="preserve"> work of Hemanth Kumar D ( 231801057) , Balaji R (231801018) , </w:t>
      </w:r>
      <w:proofErr w:type="spellStart"/>
      <w:r w:rsidRPr="00A53AB4">
        <w:rPr>
          <w:rFonts w:ascii="Times New Roman" w:hAnsi="Times New Roman" w:cs="Times New Roman"/>
          <w:sz w:val="28"/>
          <w:szCs w:val="28"/>
        </w:rPr>
        <w:t>Bijlesh</w:t>
      </w:r>
      <w:proofErr w:type="spellEnd"/>
      <w:r w:rsidRPr="00A53AB4">
        <w:rPr>
          <w:rFonts w:ascii="Times New Roman" w:hAnsi="Times New Roman" w:cs="Times New Roman"/>
          <w:sz w:val="28"/>
          <w:szCs w:val="28"/>
        </w:rPr>
        <w:t xml:space="preserve"> S (231801501) VII Semester, B.Tech. Artificial Intelligence and Data Science Department in partial fulfilment of the requirements of the course </w:t>
      </w:r>
      <w:r w:rsidRPr="00A53AB4">
        <w:rPr>
          <w:rFonts w:ascii="Times New Roman" w:hAnsi="Times New Roman" w:cs="Times New Roman"/>
          <w:b/>
          <w:bCs/>
          <w:sz w:val="28"/>
          <w:szCs w:val="28"/>
        </w:rPr>
        <w:t xml:space="preserve">AD23A38  – Manufacturing Analytics  </w:t>
      </w:r>
      <w:r w:rsidRPr="00A53AB4">
        <w:rPr>
          <w:rFonts w:ascii="Times New Roman" w:hAnsi="Times New Roman" w:cs="Times New Roman"/>
          <w:sz w:val="28"/>
          <w:szCs w:val="28"/>
        </w:rPr>
        <w:t>during the Academic Year 2026 – 2027.</w:t>
      </w:r>
    </w:p>
    <w:p w14:paraId="0C959327" w14:textId="77777777" w:rsidR="00203ABC" w:rsidRPr="00A53AB4" w:rsidRDefault="00203ABC" w:rsidP="00203ABC">
      <w:pPr>
        <w:jc w:val="both"/>
        <w:rPr>
          <w:rFonts w:ascii="Times New Roman" w:hAnsi="Times New Roman" w:cs="Times New Roman"/>
          <w:b/>
          <w:bCs/>
          <w:sz w:val="28"/>
          <w:szCs w:val="28"/>
        </w:rPr>
      </w:pPr>
    </w:p>
    <w:p w14:paraId="613AFD36" w14:textId="77777777" w:rsidR="00203ABC" w:rsidRPr="00A53AB4" w:rsidRDefault="00203ABC" w:rsidP="00203ABC">
      <w:pPr>
        <w:jc w:val="both"/>
        <w:rPr>
          <w:rFonts w:ascii="Times New Roman" w:hAnsi="Times New Roman" w:cs="Times New Roman"/>
          <w:b/>
          <w:bCs/>
          <w:sz w:val="28"/>
          <w:szCs w:val="28"/>
        </w:rPr>
      </w:pPr>
    </w:p>
    <w:p w14:paraId="2F10DA60" w14:textId="77777777" w:rsidR="00203ABC" w:rsidRPr="00A53AB4" w:rsidRDefault="00203ABC" w:rsidP="00203ABC">
      <w:pPr>
        <w:jc w:val="both"/>
        <w:rPr>
          <w:rFonts w:ascii="Times New Roman" w:hAnsi="Times New Roman" w:cs="Times New Roman"/>
          <w:b/>
          <w:bCs/>
          <w:sz w:val="28"/>
          <w:szCs w:val="28"/>
        </w:rPr>
      </w:pPr>
    </w:p>
    <w:p w14:paraId="3496504B" w14:textId="1D9C76E3" w:rsidR="00203ABC" w:rsidRPr="00A53AB4" w:rsidRDefault="00203ABC" w:rsidP="00203ABC">
      <w:pPr>
        <w:spacing w:before="95"/>
        <w:rPr>
          <w:rFonts w:ascii="Times New Roman" w:hAnsi="Times New Roman" w:cs="Times New Roman"/>
          <w:sz w:val="32"/>
          <w:szCs w:val="32"/>
        </w:rPr>
      </w:pPr>
      <w:r w:rsidRPr="00A53AB4">
        <w:rPr>
          <w:rFonts w:ascii="Times New Roman" w:hAnsi="Times New Roman" w:cs="Times New Roman"/>
          <w:b/>
          <w:bCs/>
          <w:sz w:val="28"/>
          <w:szCs w:val="28"/>
        </w:rPr>
        <w:tab/>
      </w:r>
      <w:r w:rsidRPr="00A53AB4">
        <w:rPr>
          <w:rFonts w:ascii="Times New Roman" w:hAnsi="Times New Roman" w:cs="Times New Roman"/>
          <w:b/>
          <w:bCs/>
          <w:sz w:val="28"/>
          <w:szCs w:val="28"/>
        </w:rPr>
        <w:tab/>
      </w:r>
      <w:r w:rsidRPr="00A53AB4">
        <w:rPr>
          <w:rFonts w:ascii="Times New Roman" w:hAnsi="Times New Roman" w:cs="Times New Roman"/>
          <w:b/>
          <w:bCs/>
          <w:sz w:val="28"/>
          <w:szCs w:val="28"/>
        </w:rPr>
        <w:tab/>
      </w:r>
      <w:r w:rsidRPr="00A53AB4">
        <w:rPr>
          <w:rFonts w:ascii="Times New Roman" w:hAnsi="Times New Roman" w:cs="Times New Roman"/>
          <w:b/>
          <w:bCs/>
          <w:sz w:val="28"/>
          <w:szCs w:val="28"/>
        </w:rPr>
        <w:tab/>
      </w:r>
      <w:r w:rsidRPr="00A53AB4">
        <w:rPr>
          <w:rFonts w:ascii="Times New Roman" w:hAnsi="Times New Roman" w:cs="Times New Roman"/>
          <w:b/>
          <w:bCs/>
          <w:sz w:val="28"/>
          <w:szCs w:val="28"/>
        </w:rPr>
        <w:tab/>
      </w:r>
      <w:r w:rsidRPr="00A53AB4">
        <w:rPr>
          <w:rFonts w:ascii="Times New Roman" w:hAnsi="Times New Roman" w:cs="Times New Roman"/>
          <w:b/>
          <w:bCs/>
          <w:sz w:val="28"/>
          <w:szCs w:val="28"/>
        </w:rPr>
        <w:tab/>
      </w:r>
      <w:r w:rsidRPr="00A53AB4">
        <w:rPr>
          <w:rFonts w:ascii="Times New Roman" w:hAnsi="Times New Roman" w:cs="Times New Roman"/>
          <w:b/>
          <w:bCs/>
          <w:sz w:val="28"/>
          <w:szCs w:val="28"/>
        </w:rPr>
        <w:tab/>
      </w:r>
      <w:r w:rsidRPr="00A53AB4">
        <w:rPr>
          <w:rFonts w:ascii="Times New Roman" w:hAnsi="Times New Roman" w:cs="Times New Roman"/>
          <w:b/>
          <w:bCs/>
          <w:sz w:val="28"/>
          <w:szCs w:val="28"/>
        </w:rPr>
        <w:tab/>
      </w:r>
      <w:r w:rsidR="00A53AB4" w:rsidRPr="00A53AB4">
        <w:rPr>
          <w:rFonts w:ascii="Times New Roman" w:hAnsi="Times New Roman" w:cs="Times New Roman"/>
          <w:b/>
          <w:bCs/>
          <w:sz w:val="28"/>
          <w:szCs w:val="28"/>
        </w:rPr>
        <w:t xml:space="preserve">               </w:t>
      </w:r>
      <w:r w:rsidRPr="00A53AB4">
        <w:rPr>
          <w:rFonts w:ascii="Times New Roman" w:hAnsi="Times New Roman" w:cs="Times New Roman"/>
          <w:w w:val="105"/>
          <w:sz w:val="28"/>
          <w:szCs w:val="28"/>
        </w:rPr>
        <w:t>Faculty</w:t>
      </w:r>
      <w:r w:rsidRPr="00A53AB4">
        <w:rPr>
          <w:rFonts w:ascii="Times New Roman" w:hAnsi="Times New Roman" w:cs="Times New Roman"/>
          <w:spacing w:val="25"/>
          <w:w w:val="105"/>
          <w:sz w:val="28"/>
          <w:szCs w:val="28"/>
        </w:rPr>
        <w:t xml:space="preserve"> </w:t>
      </w:r>
      <w:r w:rsidRPr="00A53AB4">
        <w:rPr>
          <w:rFonts w:ascii="Times New Roman" w:hAnsi="Times New Roman" w:cs="Times New Roman"/>
          <w:w w:val="105"/>
          <w:sz w:val="28"/>
          <w:szCs w:val="28"/>
        </w:rPr>
        <w:t>in</w:t>
      </w:r>
      <w:r w:rsidRPr="00A53AB4">
        <w:rPr>
          <w:rFonts w:ascii="Times New Roman" w:hAnsi="Times New Roman" w:cs="Times New Roman"/>
          <w:spacing w:val="-36"/>
          <w:w w:val="105"/>
          <w:sz w:val="28"/>
          <w:szCs w:val="28"/>
        </w:rPr>
        <w:t>-</w:t>
      </w:r>
      <w:r w:rsidRPr="00A53AB4">
        <w:rPr>
          <w:rFonts w:ascii="Times New Roman" w:hAnsi="Times New Roman" w:cs="Times New Roman"/>
          <w:spacing w:val="-2"/>
          <w:w w:val="105"/>
          <w:sz w:val="28"/>
          <w:szCs w:val="28"/>
        </w:rPr>
        <w:t>charge</w:t>
      </w:r>
    </w:p>
    <w:p w14:paraId="17C103B8" w14:textId="71335ED9" w:rsidR="00DB4454" w:rsidRPr="00A53AB4" w:rsidRDefault="00A53AB4" w:rsidP="00203ABC">
      <w:pPr>
        <w:pStyle w:val="BodyText"/>
        <w:spacing w:before="239"/>
        <w:ind w:left="644"/>
        <w:rPr>
          <w:sz w:val="28"/>
          <w:szCs w:val="28"/>
        </w:rPr>
      </w:pPr>
      <w:r w:rsidRPr="00A53AB4">
        <w:rPr>
          <w:sz w:val="28"/>
          <w:szCs w:val="28"/>
        </w:rPr>
        <w:t xml:space="preserve">  </w:t>
      </w:r>
    </w:p>
    <w:p w14:paraId="56485FCE" w14:textId="77777777" w:rsidR="00DB4454" w:rsidRPr="00A53AB4" w:rsidRDefault="00DB4454" w:rsidP="00203ABC">
      <w:pPr>
        <w:pStyle w:val="BodyText"/>
        <w:spacing w:before="239"/>
        <w:ind w:left="644"/>
        <w:rPr>
          <w:sz w:val="28"/>
          <w:szCs w:val="28"/>
        </w:rPr>
      </w:pPr>
    </w:p>
    <w:p w14:paraId="059328AA" w14:textId="62B86004" w:rsidR="00203ABC" w:rsidRPr="00A53AB4" w:rsidRDefault="00203ABC" w:rsidP="00203ABC">
      <w:pPr>
        <w:pStyle w:val="BodyText"/>
        <w:spacing w:before="239"/>
        <w:ind w:left="644"/>
        <w:rPr>
          <w:sz w:val="28"/>
          <w:szCs w:val="28"/>
        </w:rPr>
      </w:pPr>
      <w:r w:rsidRPr="00A53AB4">
        <w:rPr>
          <w:sz w:val="28"/>
          <w:szCs w:val="28"/>
        </w:rPr>
        <w:t>Submitted</w:t>
      </w:r>
      <w:r w:rsidRPr="00A53AB4">
        <w:rPr>
          <w:spacing w:val="24"/>
          <w:sz w:val="28"/>
          <w:szCs w:val="28"/>
        </w:rPr>
        <w:t xml:space="preserve"> </w:t>
      </w:r>
      <w:r w:rsidRPr="00A53AB4">
        <w:rPr>
          <w:sz w:val="28"/>
          <w:szCs w:val="28"/>
        </w:rPr>
        <w:t xml:space="preserve">to mini-project viva voce examination held on: ……………………… </w:t>
      </w:r>
    </w:p>
    <w:p w14:paraId="798BA5F2" w14:textId="77777777" w:rsidR="00203ABC" w:rsidRPr="00A53AB4" w:rsidRDefault="00203ABC" w:rsidP="00203ABC">
      <w:pPr>
        <w:pStyle w:val="BodyText"/>
        <w:spacing w:before="239"/>
        <w:ind w:left="644"/>
        <w:rPr>
          <w:spacing w:val="-5"/>
          <w:sz w:val="32"/>
          <w:szCs w:val="32"/>
        </w:rPr>
      </w:pPr>
    </w:p>
    <w:p w14:paraId="7D6A2AD9" w14:textId="77777777" w:rsidR="00203ABC" w:rsidRPr="00A53AB4" w:rsidRDefault="00203ABC" w:rsidP="00203ABC">
      <w:pPr>
        <w:pStyle w:val="BodyText"/>
        <w:spacing w:before="239"/>
        <w:ind w:left="644"/>
        <w:rPr>
          <w:spacing w:val="-5"/>
          <w:sz w:val="32"/>
          <w:szCs w:val="32"/>
        </w:rPr>
      </w:pPr>
    </w:p>
    <w:p w14:paraId="6CFAC36F" w14:textId="77777777" w:rsidR="00203ABC" w:rsidRPr="00A53AB4" w:rsidRDefault="00203ABC" w:rsidP="00203ABC">
      <w:pPr>
        <w:pStyle w:val="BodyText"/>
        <w:spacing w:before="239"/>
        <w:ind w:left="644"/>
        <w:rPr>
          <w:b/>
          <w:bCs/>
          <w:spacing w:val="-5"/>
          <w:sz w:val="32"/>
          <w:szCs w:val="32"/>
        </w:rPr>
      </w:pPr>
    </w:p>
    <w:p w14:paraId="6B287C39" w14:textId="77777777" w:rsidR="00203ABC" w:rsidRPr="00A53AB4" w:rsidRDefault="00203ABC" w:rsidP="00203ABC">
      <w:pPr>
        <w:pStyle w:val="BodyText"/>
        <w:spacing w:before="239"/>
        <w:ind w:left="644"/>
        <w:rPr>
          <w:b/>
          <w:bCs/>
          <w:spacing w:val="-5"/>
          <w:sz w:val="32"/>
          <w:szCs w:val="32"/>
        </w:rPr>
      </w:pPr>
    </w:p>
    <w:p w14:paraId="65DC8C3E" w14:textId="2B294E14" w:rsidR="00203ABC" w:rsidRPr="00A53AB4" w:rsidRDefault="00DB4454" w:rsidP="00203ABC">
      <w:pPr>
        <w:pStyle w:val="BodyText"/>
        <w:spacing w:before="239"/>
        <w:rPr>
          <w:b/>
          <w:bCs/>
          <w:sz w:val="32"/>
          <w:szCs w:val="32"/>
        </w:rPr>
        <w:sectPr w:rsidR="00203ABC" w:rsidRPr="00A53AB4" w:rsidSect="00203ABC">
          <w:pgSz w:w="11907" w:h="16840" w:code="9"/>
          <w:pgMar w:top="720" w:right="998" w:bottom="278" w:left="782"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A53AB4">
        <w:rPr>
          <w:b/>
          <w:bCs/>
          <w:spacing w:val="-5"/>
          <w:sz w:val="32"/>
          <w:szCs w:val="32"/>
        </w:rPr>
        <w:t xml:space="preserve">     </w:t>
      </w:r>
      <w:r w:rsidR="00203ABC" w:rsidRPr="00A53AB4">
        <w:rPr>
          <w:b/>
          <w:bCs/>
          <w:spacing w:val="-5"/>
          <w:sz w:val="28"/>
          <w:szCs w:val="28"/>
        </w:rPr>
        <w:t xml:space="preserve">INTERNAL EXAMINER       </w:t>
      </w:r>
      <w:r w:rsidR="00203ABC" w:rsidRPr="00A53AB4">
        <w:rPr>
          <w:b/>
          <w:bCs/>
          <w:spacing w:val="-5"/>
          <w:sz w:val="28"/>
          <w:szCs w:val="28"/>
        </w:rPr>
        <w:tab/>
      </w:r>
      <w:r w:rsidR="00203ABC" w:rsidRPr="00A53AB4">
        <w:rPr>
          <w:b/>
          <w:bCs/>
          <w:spacing w:val="-5"/>
          <w:sz w:val="28"/>
          <w:szCs w:val="28"/>
        </w:rPr>
        <w:tab/>
      </w:r>
      <w:r w:rsidR="00203ABC" w:rsidRPr="00A53AB4">
        <w:rPr>
          <w:b/>
          <w:bCs/>
          <w:spacing w:val="-5"/>
          <w:sz w:val="28"/>
          <w:szCs w:val="28"/>
        </w:rPr>
        <w:tab/>
      </w:r>
      <w:r w:rsidR="00A53AB4" w:rsidRPr="00A53AB4">
        <w:rPr>
          <w:b/>
          <w:bCs/>
          <w:spacing w:val="-5"/>
          <w:sz w:val="28"/>
          <w:szCs w:val="28"/>
        </w:rPr>
        <w:t xml:space="preserve">         </w:t>
      </w:r>
      <w:r w:rsidR="00203ABC" w:rsidRPr="00A53AB4">
        <w:rPr>
          <w:b/>
          <w:bCs/>
          <w:spacing w:val="-5"/>
          <w:sz w:val="28"/>
          <w:szCs w:val="28"/>
        </w:rPr>
        <w:t>EXTERNAL EXAMINE</w:t>
      </w:r>
      <w:r w:rsidR="00A53AB4" w:rsidRPr="00A53AB4">
        <w:rPr>
          <w:b/>
          <w:bCs/>
          <w:spacing w:val="-5"/>
          <w:sz w:val="28"/>
          <w:szCs w:val="28"/>
        </w:rPr>
        <w:t>R</w:t>
      </w:r>
    </w:p>
    <w:p w14:paraId="26EAFDD1" w14:textId="07C0B6C2" w:rsidR="00124450" w:rsidRPr="00A53AB4" w:rsidRDefault="00A53AB4" w:rsidP="00A53AB4">
      <w:pPr>
        <w:spacing w:line="360" w:lineRule="auto"/>
        <w:ind w:left="1440" w:firstLine="720"/>
        <w:jc w:val="both"/>
        <w:rPr>
          <w:rFonts w:ascii="Times New Roman" w:hAnsi="Times New Roman" w:cs="Times New Roman"/>
          <w:b/>
          <w:bCs/>
          <w:sz w:val="28"/>
          <w:szCs w:val="28"/>
        </w:rPr>
      </w:pPr>
      <w:r w:rsidRPr="00A53AB4">
        <w:rPr>
          <w:rFonts w:ascii="Times New Roman" w:hAnsi="Times New Roman" w:cs="Times New Roman"/>
          <w:b/>
          <w:bCs/>
          <w:sz w:val="28"/>
          <w:szCs w:val="28"/>
        </w:rPr>
        <w:lastRenderedPageBreak/>
        <w:t xml:space="preserve">        </w:t>
      </w:r>
      <w:r w:rsidR="00124450" w:rsidRPr="00A53AB4">
        <w:rPr>
          <w:rFonts w:ascii="Times New Roman" w:hAnsi="Times New Roman" w:cs="Times New Roman"/>
          <w:b/>
          <w:bCs/>
          <w:sz w:val="28"/>
          <w:szCs w:val="28"/>
        </w:rPr>
        <w:t>ACKNOWLEDGEMENT</w:t>
      </w:r>
    </w:p>
    <w:p w14:paraId="2017F24D" w14:textId="77777777" w:rsidR="00124450" w:rsidRPr="00A53AB4" w:rsidRDefault="00124450" w:rsidP="00B178DE">
      <w:pPr>
        <w:spacing w:line="360" w:lineRule="auto"/>
        <w:jc w:val="both"/>
        <w:rPr>
          <w:rFonts w:ascii="Times New Roman" w:hAnsi="Times New Roman" w:cs="Times New Roman"/>
          <w:sz w:val="28"/>
          <w:szCs w:val="28"/>
        </w:rPr>
      </w:pPr>
    </w:p>
    <w:p w14:paraId="7F35AFA4" w14:textId="60742307" w:rsidR="00124450" w:rsidRPr="00A53AB4" w:rsidRDefault="00124450" w:rsidP="00B178DE">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 xml:space="preserve">We begin by expressing our deepest gratitude to the Almighty for guiding us through every step of this journey and for blessing us with the strength and clarity to complete this work. We sincerely thank our respected Chairman </w:t>
      </w:r>
      <w:r w:rsidRPr="00A53AB4">
        <w:rPr>
          <w:rFonts w:ascii="Times New Roman" w:hAnsi="Times New Roman" w:cs="Times New Roman"/>
          <w:b/>
          <w:bCs/>
          <w:sz w:val="28"/>
          <w:szCs w:val="28"/>
        </w:rPr>
        <w:t>Mr. S. Meganathan</w:t>
      </w:r>
      <w:r w:rsidRPr="00A53AB4">
        <w:rPr>
          <w:rFonts w:ascii="Times New Roman" w:hAnsi="Times New Roman" w:cs="Times New Roman"/>
          <w:sz w:val="28"/>
          <w:szCs w:val="28"/>
        </w:rPr>
        <w:t xml:space="preserve">, B.E., F.I.E., our </w:t>
      </w:r>
      <w:proofErr w:type="gramStart"/>
      <w:r w:rsidRPr="00A53AB4">
        <w:rPr>
          <w:rFonts w:ascii="Times New Roman" w:hAnsi="Times New Roman" w:cs="Times New Roman"/>
          <w:sz w:val="28"/>
          <w:szCs w:val="28"/>
        </w:rPr>
        <w:t>Chairperson</w:t>
      </w:r>
      <w:proofErr w:type="gramEnd"/>
      <w:r w:rsidRPr="00A53AB4">
        <w:rPr>
          <w:rFonts w:ascii="Times New Roman" w:hAnsi="Times New Roman" w:cs="Times New Roman"/>
          <w:sz w:val="28"/>
          <w:szCs w:val="28"/>
        </w:rPr>
        <w:t xml:space="preserve">. </w:t>
      </w:r>
      <w:r w:rsidRPr="00A53AB4">
        <w:rPr>
          <w:rFonts w:ascii="Times New Roman" w:hAnsi="Times New Roman" w:cs="Times New Roman"/>
          <w:b/>
          <w:bCs/>
          <w:sz w:val="28"/>
          <w:szCs w:val="28"/>
        </w:rPr>
        <w:t>Dr. (Mrs.) Thangam Meganathan, Ph.D.</w:t>
      </w:r>
      <w:r w:rsidRPr="00A53AB4">
        <w:rPr>
          <w:rFonts w:ascii="Times New Roman" w:hAnsi="Times New Roman" w:cs="Times New Roman"/>
          <w:sz w:val="28"/>
          <w:szCs w:val="28"/>
        </w:rPr>
        <w:t xml:space="preserve">, and our Vice Chairman </w:t>
      </w:r>
      <w:r w:rsidRPr="00A53AB4">
        <w:rPr>
          <w:rFonts w:ascii="Times New Roman" w:hAnsi="Times New Roman" w:cs="Times New Roman"/>
          <w:b/>
          <w:bCs/>
          <w:sz w:val="28"/>
          <w:szCs w:val="28"/>
        </w:rPr>
        <w:t>Mr. Abhay Shankar Meganathan</w:t>
      </w:r>
      <w:r w:rsidRPr="00A53AB4">
        <w:rPr>
          <w:rFonts w:ascii="Times New Roman" w:hAnsi="Times New Roman" w:cs="Times New Roman"/>
          <w:sz w:val="28"/>
          <w:szCs w:val="28"/>
        </w:rPr>
        <w:t xml:space="preserve">, B.E., M.S., for providing excellent infrastructure and for their unwavering commitment to quality education. We place on record our sincere thanks to Dr. S. N. Murugesan, M.E., Ph.D., our beloved Principal, for his continuous support and for providing the facilities required for the successful completion of this project. We express our heartfelt gratitude to </w:t>
      </w:r>
      <w:r w:rsidRPr="00A53AB4">
        <w:rPr>
          <w:rFonts w:ascii="Times New Roman" w:hAnsi="Times New Roman" w:cs="Times New Roman"/>
          <w:b/>
          <w:bCs/>
          <w:sz w:val="28"/>
          <w:szCs w:val="28"/>
        </w:rPr>
        <w:t>Dr. J M Gnanasekar, Ph.D</w:t>
      </w:r>
      <w:r w:rsidRPr="00A53AB4">
        <w:rPr>
          <w:rFonts w:ascii="Times New Roman" w:hAnsi="Times New Roman" w:cs="Times New Roman"/>
          <w:sz w:val="28"/>
          <w:szCs w:val="28"/>
        </w:rPr>
        <w:t xml:space="preserve">., Professor and Head of the Department, for his valuable guidance, encouragement, and constructive feedback throughout the course of this project. Our deepest thanks go to our </w:t>
      </w:r>
      <w:r w:rsidRPr="00A53AB4">
        <w:rPr>
          <w:rFonts w:ascii="Times New Roman" w:hAnsi="Times New Roman" w:cs="Times New Roman"/>
          <w:b/>
          <w:bCs/>
          <w:sz w:val="28"/>
          <w:szCs w:val="28"/>
        </w:rPr>
        <w:t>internal guide and project coordinator,</w:t>
      </w:r>
      <w:r w:rsidRPr="00A53AB4">
        <w:rPr>
          <w:rFonts w:ascii="Times New Roman" w:hAnsi="Times New Roman" w:cs="Times New Roman"/>
          <w:sz w:val="28"/>
          <w:szCs w:val="28"/>
        </w:rPr>
        <w:t xml:space="preserve"> </w:t>
      </w:r>
      <w:r w:rsidRPr="00A53AB4">
        <w:rPr>
          <w:rFonts w:ascii="Times New Roman" w:hAnsi="Times New Roman" w:cs="Times New Roman"/>
          <w:b/>
          <w:bCs/>
          <w:sz w:val="28"/>
          <w:szCs w:val="28"/>
        </w:rPr>
        <w:t>Mrs. Savithri R</w:t>
      </w:r>
      <w:r w:rsidRPr="00A53AB4">
        <w:rPr>
          <w:rFonts w:ascii="Times New Roman" w:hAnsi="Times New Roman" w:cs="Times New Roman"/>
          <w:sz w:val="28"/>
          <w:szCs w:val="28"/>
        </w:rPr>
        <w:t>, for her patient mentorship, valuable suggestions, constant encouragement, and continuous support throughout the development of our "</w:t>
      </w:r>
      <w:r w:rsidRPr="00A53AB4">
        <w:rPr>
          <w:rFonts w:ascii="Times New Roman" w:hAnsi="Times New Roman" w:cs="Times New Roman"/>
          <w:b/>
          <w:bCs/>
          <w:sz w:val="28"/>
          <w:szCs w:val="28"/>
        </w:rPr>
        <w:t xml:space="preserve"> Forecast-Driven Energy-Aware Scheduling for Smart Manufacturing</w:t>
      </w:r>
      <w:r w:rsidRPr="00A53AB4">
        <w:rPr>
          <w:rFonts w:ascii="Times New Roman" w:hAnsi="Times New Roman" w:cs="Times New Roman"/>
          <w:sz w:val="28"/>
          <w:szCs w:val="28"/>
        </w:rPr>
        <w:t xml:space="preserve"> " project. We also wish to thank all the faculty members and teaching staff of the Department of Artificial Intelligence and Data Science for their encouragement and for sharing their valuable knowledge with us. Finally, we express our sincere gratitude to our families and friends for their constant support, motivation, and patience throughout this endeavour.</w:t>
      </w:r>
    </w:p>
    <w:p w14:paraId="1410B721" w14:textId="77777777" w:rsidR="00124450" w:rsidRPr="00A53AB4" w:rsidRDefault="00124450" w:rsidP="00B178DE">
      <w:pPr>
        <w:spacing w:line="360" w:lineRule="auto"/>
        <w:jc w:val="both"/>
        <w:rPr>
          <w:rFonts w:ascii="Times New Roman" w:hAnsi="Times New Roman" w:cs="Times New Roman"/>
          <w:b/>
          <w:bCs/>
          <w:sz w:val="28"/>
          <w:szCs w:val="28"/>
        </w:rPr>
      </w:pPr>
    </w:p>
    <w:p w14:paraId="301248F9" w14:textId="77777777" w:rsidR="00124450" w:rsidRPr="00A53AB4" w:rsidRDefault="00124450" w:rsidP="00B178DE">
      <w:pPr>
        <w:spacing w:line="360" w:lineRule="auto"/>
        <w:jc w:val="both"/>
        <w:rPr>
          <w:rFonts w:ascii="Times New Roman" w:hAnsi="Times New Roman" w:cs="Times New Roman"/>
          <w:b/>
          <w:bCs/>
          <w:sz w:val="28"/>
          <w:szCs w:val="28"/>
        </w:rPr>
      </w:pPr>
    </w:p>
    <w:p w14:paraId="6260D2AE" w14:textId="77777777" w:rsidR="00124450" w:rsidRPr="00A53AB4" w:rsidRDefault="00124450" w:rsidP="00B178DE">
      <w:pPr>
        <w:spacing w:line="360" w:lineRule="auto"/>
        <w:jc w:val="both"/>
        <w:rPr>
          <w:rFonts w:ascii="Times New Roman" w:hAnsi="Times New Roman" w:cs="Times New Roman"/>
          <w:b/>
          <w:bCs/>
          <w:sz w:val="28"/>
          <w:szCs w:val="28"/>
        </w:rPr>
      </w:pPr>
    </w:p>
    <w:p w14:paraId="0DE6128C" w14:textId="77777777" w:rsidR="00A53AB4" w:rsidRPr="00A53AB4" w:rsidRDefault="00A53AB4" w:rsidP="00D066A2">
      <w:pPr>
        <w:spacing w:line="360" w:lineRule="auto"/>
        <w:jc w:val="both"/>
        <w:rPr>
          <w:rFonts w:ascii="Times New Roman" w:hAnsi="Times New Roman" w:cs="Times New Roman"/>
          <w:b/>
          <w:bCs/>
          <w:sz w:val="28"/>
          <w:szCs w:val="28"/>
        </w:rPr>
      </w:pPr>
    </w:p>
    <w:p w14:paraId="0F700F53" w14:textId="59088E03" w:rsidR="00A53AB4" w:rsidRPr="00A53AB4" w:rsidRDefault="00A53AB4" w:rsidP="00A53AB4">
      <w:pPr>
        <w:spacing w:line="360" w:lineRule="auto"/>
        <w:ind w:left="2160"/>
        <w:jc w:val="both"/>
        <w:rPr>
          <w:rFonts w:ascii="Times New Roman" w:hAnsi="Times New Roman" w:cs="Times New Roman"/>
          <w:b/>
          <w:bCs/>
          <w:sz w:val="28"/>
          <w:szCs w:val="28"/>
        </w:rPr>
      </w:pPr>
      <w:r w:rsidRPr="00A53AB4">
        <w:rPr>
          <w:rFonts w:ascii="Times New Roman" w:hAnsi="Times New Roman" w:cs="Times New Roman"/>
          <w:b/>
          <w:bCs/>
          <w:sz w:val="28"/>
          <w:szCs w:val="28"/>
        </w:rPr>
        <w:lastRenderedPageBreak/>
        <w:t xml:space="preserve">     </w:t>
      </w:r>
      <w:r w:rsidRPr="00A53AB4">
        <w:rPr>
          <w:rFonts w:ascii="Times New Roman" w:hAnsi="Times New Roman" w:cs="Times New Roman"/>
          <w:b/>
          <w:bCs/>
          <w:sz w:val="28"/>
          <w:szCs w:val="28"/>
        </w:rPr>
        <w:t>TABLE OF CONTENTS</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418"/>
        <w:gridCol w:w="6804"/>
        <w:gridCol w:w="1417"/>
      </w:tblGrid>
      <w:tr w:rsidR="00A53AB4" w:rsidRPr="00A53AB4" w14:paraId="35289A80" w14:textId="77777777" w:rsidTr="00A53AB4">
        <w:trPr>
          <w:tblHeader/>
          <w:tblCellSpacing w:w="15" w:type="dxa"/>
        </w:trPr>
        <w:tc>
          <w:tcPr>
            <w:tcW w:w="1373" w:type="dxa"/>
            <w:vAlign w:val="center"/>
            <w:hideMark/>
          </w:tcPr>
          <w:p w14:paraId="0C2284E4" w14:textId="77777777" w:rsidR="00A53AB4" w:rsidRPr="00A53AB4" w:rsidRDefault="00A53AB4" w:rsidP="00A53AB4">
            <w:pPr>
              <w:spacing w:line="360" w:lineRule="auto"/>
              <w:jc w:val="both"/>
              <w:rPr>
                <w:rFonts w:ascii="Times New Roman" w:hAnsi="Times New Roman" w:cs="Times New Roman"/>
                <w:b/>
                <w:bCs/>
                <w:sz w:val="28"/>
                <w:szCs w:val="28"/>
              </w:rPr>
            </w:pPr>
            <w:proofErr w:type="spellStart"/>
            <w:r w:rsidRPr="00A53AB4">
              <w:rPr>
                <w:rFonts w:ascii="Times New Roman" w:hAnsi="Times New Roman" w:cs="Times New Roman"/>
                <w:b/>
                <w:bCs/>
                <w:sz w:val="28"/>
                <w:szCs w:val="28"/>
              </w:rPr>
              <w:t>S.No</w:t>
            </w:r>
            <w:proofErr w:type="spellEnd"/>
            <w:r w:rsidRPr="00A53AB4">
              <w:rPr>
                <w:rFonts w:ascii="Times New Roman" w:hAnsi="Times New Roman" w:cs="Times New Roman"/>
                <w:b/>
                <w:bCs/>
                <w:sz w:val="28"/>
                <w:szCs w:val="28"/>
              </w:rPr>
              <w:t>.</w:t>
            </w:r>
          </w:p>
        </w:tc>
        <w:tc>
          <w:tcPr>
            <w:tcW w:w="6774" w:type="dxa"/>
            <w:vAlign w:val="center"/>
            <w:hideMark/>
          </w:tcPr>
          <w:p w14:paraId="2350E27E" w14:textId="77777777" w:rsidR="00A53AB4" w:rsidRPr="00A53AB4" w:rsidRDefault="00A53AB4" w:rsidP="00A53AB4">
            <w:pPr>
              <w:spacing w:line="360" w:lineRule="auto"/>
              <w:jc w:val="both"/>
              <w:rPr>
                <w:rFonts w:ascii="Times New Roman" w:hAnsi="Times New Roman" w:cs="Times New Roman"/>
                <w:b/>
                <w:bCs/>
                <w:sz w:val="28"/>
                <w:szCs w:val="28"/>
              </w:rPr>
            </w:pPr>
            <w:r w:rsidRPr="00A53AB4">
              <w:rPr>
                <w:rFonts w:ascii="Times New Roman" w:hAnsi="Times New Roman" w:cs="Times New Roman"/>
                <w:b/>
                <w:bCs/>
                <w:sz w:val="28"/>
                <w:szCs w:val="28"/>
              </w:rPr>
              <w:t>Title</w:t>
            </w:r>
          </w:p>
        </w:tc>
        <w:tc>
          <w:tcPr>
            <w:tcW w:w="1372" w:type="dxa"/>
            <w:vAlign w:val="center"/>
            <w:hideMark/>
          </w:tcPr>
          <w:p w14:paraId="710DB012" w14:textId="77777777" w:rsidR="00A53AB4" w:rsidRPr="00A53AB4" w:rsidRDefault="00A53AB4" w:rsidP="00A53AB4">
            <w:pPr>
              <w:spacing w:line="360" w:lineRule="auto"/>
              <w:jc w:val="both"/>
              <w:rPr>
                <w:rFonts w:ascii="Times New Roman" w:hAnsi="Times New Roman" w:cs="Times New Roman"/>
                <w:b/>
                <w:bCs/>
                <w:sz w:val="28"/>
                <w:szCs w:val="28"/>
              </w:rPr>
            </w:pPr>
            <w:r w:rsidRPr="00A53AB4">
              <w:rPr>
                <w:rFonts w:ascii="Times New Roman" w:hAnsi="Times New Roman" w:cs="Times New Roman"/>
                <w:b/>
                <w:bCs/>
                <w:sz w:val="28"/>
                <w:szCs w:val="28"/>
              </w:rPr>
              <w:t>Page No.</w:t>
            </w:r>
          </w:p>
        </w:tc>
      </w:tr>
      <w:tr w:rsidR="00A53AB4" w:rsidRPr="00A53AB4" w14:paraId="10EB636E" w14:textId="77777777" w:rsidTr="00A53AB4">
        <w:trPr>
          <w:tblCellSpacing w:w="15" w:type="dxa"/>
        </w:trPr>
        <w:tc>
          <w:tcPr>
            <w:tcW w:w="1373" w:type="dxa"/>
            <w:vAlign w:val="center"/>
            <w:hideMark/>
          </w:tcPr>
          <w:p w14:paraId="71BBF2F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w:t>
            </w:r>
          </w:p>
        </w:tc>
        <w:tc>
          <w:tcPr>
            <w:tcW w:w="6774" w:type="dxa"/>
            <w:vAlign w:val="center"/>
            <w:hideMark/>
          </w:tcPr>
          <w:p w14:paraId="5265F9F3"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b/>
                <w:bCs/>
                <w:sz w:val="28"/>
                <w:szCs w:val="28"/>
              </w:rPr>
              <w:t>INTRODUCTION</w:t>
            </w:r>
          </w:p>
        </w:tc>
        <w:tc>
          <w:tcPr>
            <w:tcW w:w="1372" w:type="dxa"/>
            <w:vAlign w:val="center"/>
            <w:hideMark/>
          </w:tcPr>
          <w:p w14:paraId="2D32CCE6"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w:t>
            </w:r>
          </w:p>
        </w:tc>
      </w:tr>
      <w:tr w:rsidR="00A53AB4" w:rsidRPr="00A53AB4" w14:paraId="0F1C5D15" w14:textId="77777777" w:rsidTr="00A53AB4">
        <w:trPr>
          <w:tblCellSpacing w:w="15" w:type="dxa"/>
        </w:trPr>
        <w:tc>
          <w:tcPr>
            <w:tcW w:w="1373" w:type="dxa"/>
            <w:vAlign w:val="center"/>
            <w:hideMark/>
          </w:tcPr>
          <w:p w14:paraId="31523E91"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1.1</w:t>
            </w:r>
          </w:p>
        </w:tc>
        <w:tc>
          <w:tcPr>
            <w:tcW w:w="6774" w:type="dxa"/>
            <w:vAlign w:val="center"/>
            <w:hideMark/>
          </w:tcPr>
          <w:p w14:paraId="3B36FEB8"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Overview of the Problem Domain</w:t>
            </w:r>
          </w:p>
        </w:tc>
        <w:tc>
          <w:tcPr>
            <w:tcW w:w="1372" w:type="dxa"/>
            <w:vAlign w:val="center"/>
            <w:hideMark/>
          </w:tcPr>
          <w:p w14:paraId="47D69B9B"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w:t>
            </w:r>
          </w:p>
        </w:tc>
      </w:tr>
      <w:tr w:rsidR="00A53AB4" w:rsidRPr="00A53AB4" w14:paraId="514165E8" w14:textId="77777777" w:rsidTr="00A53AB4">
        <w:trPr>
          <w:tblCellSpacing w:w="15" w:type="dxa"/>
        </w:trPr>
        <w:tc>
          <w:tcPr>
            <w:tcW w:w="1373" w:type="dxa"/>
            <w:vAlign w:val="center"/>
            <w:hideMark/>
          </w:tcPr>
          <w:p w14:paraId="4E2BA4F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1.2</w:t>
            </w:r>
          </w:p>
        </w:tc>
        <w:tc>
          <w:tcPr>
            <w:tcW w:w="6774" w:type="dxa"/>
            <w:vAlign w:val="center"/>
            <w:hideMark/>
          </w:tcPr>
          <w:p w14:paraId="7B63F290"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Energy-Aware Scheduling</w:t>
            </w:r>
          </w:p>
        </w:tc>
        <w:tc>
          <w:tcPr>
            <w:tcW w:w="1372" w:type="dxa"/>
            <w:vAlign w:val="center"/>
            <w:hideMark/>
          </w:tcPr>
          <w:p w14:paraId="445D7AEB"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w:t>
            </w:r>
          </w:p>
        </w:tc>
      </w:tr>
      <w:tr w:rsidR="00A53AB4" w:rsidRPr="00A53AB4" w14:paraId="45FF5111" w14:textId="77777777" w:rsidTr="00A53AB4">
        <w:trPr>
          <w:tblCellSpacing w:w="15" w:type="dxa"/>
        </w:trPr>
        <w:tc>
          <w:tcPr>
            <w:tcW w:w="1373" w:type="dxa"/>
            <w:vAlign w:val="center"/>
            <w:hideMark/>
          </w:tcPr>
          <w:p w14:paraId="54EF5BA2"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1.3</w:t>
            </w:r>
          </w:p>
        </w:tc>
        <w:tc>
          <w:tcPr>
            <w:tcW w:w="6774" w:type="dxa"/>
            <w:vAlign w:val="center"/>
            <w:hideMark/>
          </w:tcPr>
          <w:p w14:paraId="7D9B345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Role of Forecasting</w:t>
            </w:r>
          </w:p>
        </w:tc>
        <w:tc>
          <w:tcPr>
            <w:tcW w:w="1372" w:type="dxa"/>
            <w:vAlign w:val="center"/>
            <w:hideMark/>
          </w:tcPr>
          <w:p w14:paraId="4633A2F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7</w:t>
            </w:r>
          </w:p>
        </w:tc>
      </w:tr>
      <w:tr w:rsidR="00A53AB4" w:rsidRPr="00A53AB4" w14:paraId="28B8E9FB" w14:textId="77777777" w:rsidTr="00A53AB4">
        <w:trPr>
          <w:tblCellSpacing w:w="15" w:type="dxa"/>
        </w:trPr>
        <w:tc>
          <w:tcPr>
            <w:tcW w:w="1373" w:type="dxa"/>
            <w:vAlign w:val="center"/>
            <w:hideMark/>
          </w:tcPr>
          <w:p w14:paraId="6ED5DEA0"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1.4</w:t>
            </w:r>
          </w:p>
        </w:tc>
        <w:tc>
          <w:tcPr>
            <w:tcW w:w="6774" w:type="dxa"/>
            <w:vAlign w:val="center"/>
            <w:hideMark/>
          </w:tcPr>
          <w:p w14:paraId="1DCA9E1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Electricity Tariffs</w:t>
            </w:r>
          </w:p>
        </w:tc>
        <w:tc>
          <w:tcPr>
            <w:tcW w:w="1372" w:type="dxa"/>
            <w:vAlign w:val="center"/>
            <w:hideMark/>
          </w:tcPr>
          <w:p w14:paraId="011F4C2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7</w:t>
            </w:r>
          </w:p>
        </w:tc>
      </w:tr>
      <w:tr w:rsidR="00A53AB4" w:rsidRPr="00A53AB4" w14:paraId="6DB3BD00" w14:textId="77777777" w:rsidTr="00A53AB4">
        <w:trPr>
          <w:tblCellSpacing w:w="15" w:type="dxa"/>
        </w:trPr>
        <w:tc>
          <w:tcPr>
            <w:tcW w:w="1373" w:type="dxa"/>
            <w:vAlign w:val="center"/>
            <w:hideMark/>
          </w:tcPr>
          <w:p w14:paraId="58F5010C"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1.5</w:t>
            </w:r>
          </w:p>
        </w:tc>
        <w:tc>
          <w:tcPr>
            <w:tcW w:w="6774" w:type="dxa"/>
            <w:vAlign w:val="center"/>
            <w:hideMark/>
          </w:tcPr>
          <w:p w14:paraId="4A361DE9"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Objectives and Scope</w:t>
            </w:r>
          </w:p>
        </w:tc>
        <w:tc>
          <w:tcPr>
            <w:tcW w:w="1372" w:type="dxa"/>
            <w:vAlign w:val="center"/>
            <w:hideMark/>
          </w:tcPr>
          <w:p w14:paraId="19264F0F"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8</w:t>
            </w:r>
          </w:p>
        </w:tc>
      </w:tr>
      <w:tr w:rsidR="00A53AB4" w:rsidRPr="00A53AB4" w14:paraId="39F1119E" w14:textId="77777777" w:rsidTr="00A53AB4">
        <w:trPr>
          <w:tblCellSpacing w:w="15" w:type="dxa"/>
        </w:trPr>
        <w:tc>
          <w:tcPr>
            <w:tcW w:w="1373" w:type="dxa"/>
            <w:vAlign w:val="center"/>
            <w:hideMark/>
          </w:tcPr>
          <w:p w14:paraId="23669EF0"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w:t>
            </w:r>
          </w:p>
        </w:tc>
        <w:tc>
          <w:tcPr>
            <w:tcW w:w="6774" w:type="dxa"/>
            <w:vAlign w:val="center"/>
            <w:hideMark/>
          </w:tcPr>
          <w:p w14:paraId="32EC336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b/>
                <w:bCs/>
                <w:sz w:val="28"/>
                <w:szCs w:val="28"/>
              </w:rPr>
              <w:t>PROBLEM STATEMENT</w:t>
            </w:r>
          </w:p>
        </w:tc>
        <w:tc>
          <w:tcPr>
            <w:tcW w:w="1372" w:type="dxa"/>
            <w:vAlign w:val="center"/>
            <w:hideMark/>
          </w:tcPr>
          <w:p w14:paraId="2A7DDF6D"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9</w:t>
            </w:r>
          </w:p>
        </w:tc>
      </w:tr>
      <w:tr w:rsidR="00A53AB4" w:rsidRPr="00A53AB4" w14:paraId="285BF063" w14:textId="77777777" w:rsidTr="00A53AB4">
        <w:trPr>
          <w:tblCellSpacing w:w="15" w:type="dxa"/>
        </w:trPr>
        <w:tc>
          <w:tcPr>
            <w:tcW w:w="1373" w:type="dxa"/>
            <w:vAlign w:val="center"/>
            <w:hideMark/>
          </w:tcPr>
          <w:p w14:paraId="703DBD00"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3</w:t>
            </w:r>
          </w:p>
        </w:tc>
        <w:tc>
          <w:tcPr>
            <w:tcW w:w="6774" w:type="dxa"/>
            <w:vAlign w:val="center"/>
            <w:hideMark/>
          </w:tcPr>
          <w:p w14:paraId="0B88AAB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b/>
                <w:bCs/>
                <w:sz w:val="28"/>
                <w:szCs w:val="28"/>
              </w:rPr>
              <w:t>DATA SET DESCRIPTION &amp; PREPROCESSING</w:t>
            </w:r>
          </w:p>
        </w:tc>
        <w:tc>
          <w:tcPr>
            <w:tcW w:w="1372" w:type="dxa"/>
            <w:vAlign w:val="center"/>
            <w:hideMark/>
          </w:tcPr>
          <w:p w14:paraId="15097F0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11</w:t>
            </w:r>
          </w:p>
        </w:tc>
      </w:tr>
      <w:tr w:rsidR="00A53AB4" w:rsidRPr="00A53AB4" w14:paraId="13AF1453" w14:textId="77777777" w:rsidTr="00A53AB4">
        <w:trPr>
          <w:tblCellSpacing w:w="15" w:type="dxa"/>
        </w:trPr>
        <w:tc>
          <w:tcPr>
            <w:tcW w:w="1373" w:type="dxa"/>
            <w:vAlign w:val="center"/>
            <w:hideMark/>
          </w:tcPr>
          <w:p w14:paraId="6A21D78F"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3.1</w:t>
            </w:r>
          </w:p>
        </w:tc>
        <w:tc>
          <w:tcPr>
            <w:tcW w:w="6774" w:type="dxa"/>
            <w:vAlign w:val="center"/>
            <w:hideMark/>
          </w:tcPr>
          <w:p w14:paraId="2F5781BC"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Data Set Description</w:t>
            </w:r>
          </w:p>
        </w:tc>
        <w:tc>
          <w:tcPr>
            <w:tcW w:w="1372" w:type="dxa"/>
            <w:vAlign w:val="center"/>
            <w:hideMark/>
          </w:tcPr>
          <w:p w14:paraId="4B18DBA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11</w:t>
            </w:r>
          </w:p>
        </w:tc>
      </w:tr>
      <w:tr w:rsidR="00A53AB4" w:rsidRPr="00A53AB4" w14:paraId="270BCDC4" w14:textId="77777777" w:rsidTr="00A53AB4">
        <w:trPr>
          <w:tblCellSpacing w:w="15" w:type="dxa"/>
        </w:trPr>
        <w:tc>
          <w:tcPr>
            <w:tcW w:w="1373" w:type="dxa"/>
            <w:vAlign w:val="center"/>
            <w:hideMark/>
          </w:tcPr>
          <w:p w14:paraId="3EAB5D4A"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3.2</w:t>
            </w:r>
          </w:p>
        </w:tc>
        <w:tc>
          <w:tcPr>
            <w:tcW w:w="6774" w:type="dxa"/>
            <w:vAlign w:val="center"/>
            <w:hideMark/>
          </w:tcPr>
          <w:p w14:paraId="4F26AF02"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Manufacturing Jobs and Machine Environment</w:t>
            </w:r>
          </w:p>
        </w:tc>
        <w:tc>
          <w:tcPr>
            <w:tcW w:w="1372" w:type="dxa"/>
            <w:vAlign w:val="center"/>
            <w:hideMark/>
          </w:tcPr>
          <w:p w14:paraId="1A14B260"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11</w:t>
            </w:r>
          </w:p>
        </w:tc>
      </w:tr>
      <w:tr w:rsidR="00A53AB4" w:rsidRPr="00A53AB4" w14:paraId="0607253A" w14:textId="77777777" w:rsidTr="00A53AB4">
        <w:trPr>
          <w:tblCellSpacing w:w="15" w:type="dxa"/>
        </w:trPr>
        <w:tc>
          <w:tcPr>
            <w:tcW w:w="1373" w:type="dxa"/>
            <w:vAlign w:val="center"/>
            <w:hideMark/>
          </w:tcPr>
          <w:p w14:paraId="0AE19739"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3.3</w:t>
            </w:r>
          </w:p>
        </w:tc>
        <w:tc>
          <w:tcPr>
            <w:tcW w:w="6774" w:type="dxa"/>
            <w:vAlign w:val="center"/>
            <w:hideMark/>
          </w:tcPr>
          <w:p w14:paraId="0B730FF8"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Preprocessing and Feature Engineering</w:t>
            </w:r>
          </w:p>
        </w:tc>
        <w:tc>
          <w:tcPr>
            <w:tcW w:w="1372" w:type="dxa"/>
            <w:vAlign w:val="center"/>
            <w:hideMark/>
          </w:tcPr>
          <w:p w14:paraId="583861A7"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12</w:t>
            </w:r>
          </w:p>
        </w:tc>
      </w:tr>
      <w:tr w:rsidR="00A53AB4" w:rsidRPr="00A53AB4" w14:paraId="34F95AD7" w14:textId="77777777" w:rsidTr="00A53AB4">
        <w:trPr>
          <w:tblCellSpacing w:w="15" w:type="dxa"/>
        </w:trPr>
        <w:tc>
          <w:tcPr>
            <w:tcW w:w="1373" w:type="dxa"/>
            <w:vAlign w:val="center"/>
            <w:hideMark/>
          </w:tcPr>
          <w:p w14:paraId="5B2BE89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3.4</w:t>
            </w:r>
          </w:p>
        </w:tc>
        <w:tc>
          <w:tcPr>
            <w:tcW w:w="6774" w:type="dxa"/>
            <w:vAlign w:val="center"/>
            <w:hideMark/>
          </w:tcPr>
          <w:p w14:paraId="3E864CAF"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Synthetic Benchmark and Scheduling Horizon</w:t>
            </w:r>
          </w:p>
        </w:tc>
        <w:tc>
          <w:tcPr>
            <w:tcW w:w="1372" w:type="dxa"/>
            <w:vAlign w:val="center"/>
            <w:hideMark/>
          </w:tcPr>
          <w:p w14:paraId="4138A406"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13</w:t>
            </w:r>
          </w:p>
        </w:tc>
      </w:tr>
      <w:tr w:rsidR="00A53AB4" w:rsidRPr="00A53AB4" w14:paraId="06FC7870" w14:textId="77777777" w:rsidTr="00A53AB4">
        <w:trPr>
          <w:tblCellSpacing w:w="15" w:type="dxa"/>
        </w:trPr>
        <w:tc>
          <w:tcPr>
            <w:tcW w:w="1373" w:type="dxa"/>
            <w:vAlign w:val="center"/>
            <w:hideMark/>
          </w:tcPr>
          <w:p w14:paraId="5D1EA9B8"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3.5</w:t>
            </w:r>
          </w:p>
        </w:tc>
        <w:tc>
          <w:tcPr>
            <w:tcW w:w="6774" w:type="dxa"/>
            <w:vAlign w:val="center"/>
            <w:hideMark/>
          </w:tcPr>
          <w:p w14:paraId="7C61D9D9"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Training, Testing and Preprocessing Outcome</w:t>
            </w:r>
          </w:p>
        </w:tc>
        <w:tc>
          <w:tcPr>
            <w:tcW w:w="1372" w:type="dxa"/>
            <w:vAlign w:val="center"/>
            <w:hideMark/>
          </w:tcPr>
          <w:p w14:paraId="50EF4A26"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13</w:t>
            </w:r>
          </w:p>
        </w:tc>
      </w:tr>
      <w:tr w:rsidR="00A53AB4" w:rsidRPr="00A53AB4" w14:paraId="1E205A8B" w14:textId="77777777" w:rsidTr="00A53AB4">
        <w:trPr>
          <w:tblCellSpacing w:w="15" w:type="dxa"/>
        </w:trPr>
        <w:tc>
          <w:tcPr>
            <w:tcW w:w="1373" w:type="dxa"/>
            <w:vAlign w:val="center"/>
            <w:hideMark/>
          </w:tcPr>
          <w:p w14:paraId="1EA511F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4</w:t>
            </w:r>
          </w:p>
        </w:tc>
        <w:tc>
          <w:tcPr>
            <w:tcW w:w="6774" w:type="dxa"/>
            <w:vAlign w:val="center"/>
            <w:hideMark/>
          </w:tcPr>
          <w:p w14:paraId="3DB004A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b/>
                <w:bCs/>
                <w:sz w:val="28"/>
                <w:szCs w:val="28"/>
              </w:rPr>
              <w:t>MODEL DEVELOPMENT &amp; METHODOLOGY</w:t>
            </w:r>
          </w:p>
        </w:tc>
        <w:tc>
          <w:tcPr>
            <w:tcW w:w="1372" w:type="dxa"/>
            <w:vAlign w:val="center"/>
            <w:hideMark/>
          </w:tcPr>
          <w:p w14:paraId="24B06506"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15</w:t>
            </w:r>
          </w:p>
        </w:tc>
      </w:tr>
      <w:tr w:rsidR="00A53AB4" w:rsidRPr="00A53AB4" w14:paraId="1CED3415" w14:textId="77777777" w:rsidTr="00A53AB4">
        <w:trPr>
          <w:tblCellSpacing w:w="15" w:type="dxa"/>
        </w:trPr>
        <w:tc>
          <w:tcPr>
            <w:tcW w:w="1373" w:type="dxa"/>
            <w:vAlign w:val="center"/>
            <w:hideMark/>
          </w:tcPr>
          <w:p w14:paraId="5A3E4549"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4.1</w:t>
            </w:r>
          </w:p>
        </w:tc>
        <w:tc>
          <w:tcPr>
            <w:tcW w:w="6774" w:type="dxa"/>
            <w:vAlign w:val="center"/>
            <w:hideMark/>
          </w:tcPr>
          <w:p w14:paraId="21F4E39A"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Overall Methodology</w:t>
            </w:r>
          </w:p>
        </w:tc>
        <w:tc>
          <w:tcPr>
            <w:tcW w:w="1372" w:type="dxa"/>
            <w:vAlign w:val="center"/>
            <w:hideMark/>
          </w:tcPr>
          <w:p w14:paraId="4ACC5BD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15</w:t>
            </w:r>
          </w:p>
        </w:tc>
      </w:tr>
      <w:tr w:rsidR="00A53AB4" w:rsidRPr="00A53AB4" w14:paraId="18ADC539" w14:textId="77777777" w:rsidTr="00A53AB4">
        <w:trPr>
          <w:tblCellSpacing w:w="15" w:type="dxa"/>
        </w:trPr>
        <w:tc>
          <w:tcPr>
            <w:tcW w:w="1373" w:type="dxa"/>
            <w:vAlign w:val="center"/>
            <w:hideMark/>
          </w:tcPr>
          <w:p w14:paraId="52F3DAB3"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4.2</w:t>
            </w:r>
          </w:p>
        </w:tc>
        <w:tc>
          <w:tcPr>
            <w:tcW w:w="6774" w:type="dxa"/>
            <w:vAlign w:val="center"/>
            <w:hideMark/>
          </w:tcPr>
          <w:p w14:paraId="7019F36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Model Selection and Forecasting Methodology</w:t>
            </w:r>
          </w:p>
        </w:tc>
        <w:tc>
          <w:tcPr>
            <w:tcW w:w="1372" w:type="dxa"/>
            <w:vAlign w:val="center"/>
            <w:hideMark/>
          </w:tcPr>
          <w:p w14:paraId="2E9B58E3"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15</w:t>
            </w:r>
          </w:p>
        </w:tc>
      </w:tr>
      <w:tr w:rsidR="00A53AB4" w:rsidRPr="00A53AB4" w14:paraId="10F9D640" w14:textId="77777777" w:rsidTr="00A53AB4">
        <w:trPr>
          <w:tblCellSpacing w:w="15" w:type="dxa"/>
        </w:trPr>
        <w:tc>
          <w:tcPr>
            <w:tcW w:w="1373" w:type="dxa"/>
            <w:vAlign w:val="center"/>
            <w:hideMark/>
          </w:tcPr>
          <w:p w14:paraId="5D73DD7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4.3</w:t>
            </w:r>
          </w:p>
        </w:tc>
        <w:tc>
          <w:tcPr>
            <w:tcW w:w="6774" w:type="dxa"/>
            <w:vAlign w:val="center"/>
            <w:hideMark/>
          </w:tcPr>
          <w:p w14:paraId="4105170C"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Scheduling Algorithms and Priority-Based Tariff Shifting</w:t>
            </w:r>
          </w:p>
        </w:tc>
        <w:tc>
          <w:tcPr>
            <w:tcW w:w="1372" w:type="dxa"/>
            <w:vAlign w:val="center"/>
            <w:hideMark/>
          </w:tcPr>
          <w:p w14:paraId="7B51ECE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17</w:t>
            </w:r>
          </w:p>
        </w:tc>
      </w:tr>
      <w:tr w:rsidR="00A53AB4" w:rsidRPr="00A53AB4" w14:paraId="63DE01C6" w14:textId="77777777" w:rsidTr="00A53AB4">
        <w:trPr>
          <w:tblCellSpacing w:w="15" w:type="dxa"/>
        </w:trPr>
        <w:tc>
          <w:tcPr>
            <w:tcW w:w="1373" w:type="dxa"/>
            <w:vAlign w:val="center"/>
            <w:hideMark/>
          </w:tcPr>
          <w:p w14:paraId="5B9D0C9F"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lastRenderedPageBreak/>
              <w:t>4.4</w:t>
            </w:r>
          </w:p>
        </w:tc>
        <w:tc>
          <w:tcPr>
            <w:tcW w:w="6774" w:type="dxa"/>
            <w:vAlign w:val="center"/>
            <w:hideMark/>
          </w:tcPr>
          <w:p w14:paraId="32FA128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Hybrid CP-SAT Optimization and Objective Formulation</w:t>
            </w:r>
          </w:p>
        </w:tc>
        <w:tc>
          <w:tcPr>
            <w:tcW w:w="1372" w:type="dxa"/>
            <w:vAlign w:val="center"/>
            <w:hideMark/>
          </w:tcPr>
          <w:p w14:paraId="3EA53B3A"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19</w:t>
            </w:r>
          </w:p>
        </w:tc>
      </w:tr>
      <w:tr w:rsidR="00A53AB4" w:rsidRPr="00A53AB4" w14:paraId="39B26AAA" w14:textId="77777777" w:rsidTr="00A53AB4">
        <w:trPr>
          <w:tblCellSpacing w:w="15" w:type="dxa"/>
        </w:trPr>
        <w:tc>
          <w:tcPr>
            <w:tcW w:w="1373" w:type="dxa"/>
            <w:vAlign w:val="center"/>
            <w:hideMark/>
          </w:tcPr>
          <w:p w14:paraId="56F703BC"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4.5</w:t>
            </w:r>
          </w:p>
        </w:tc>
        <w:tc>
          <w:tcPr>
            <w:tcW w:w="6774" w:type="dxa"/>
            <w:vAlign w:val="center"/>
            <w:hideMark/>
          </w:tcPr>
          <w:p w14:paraId="5D57385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Complete Scheduling Methodology and System Implementation</w:t>
            </w:r>
          </w:p>
        </w:tc>
        <w:tc>
          <w:tcPr>
            <w:tcW w:w="1372" w:type="dxa"/>
            <w:vAlign w:val="center"/>
            <w:hideMark/>
          </w:tcPr>
          <w:p w14:paraId="76190A70"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20</w:t>
            </w:r>
          </w:p>
        </w:tc>
      </w:tr>
      <w:tr w:rsidR="00A53AB4" w:rsidRPr="00A53AB4" w14:paraId="1E9CC8BC" w14:textId="77777777" w:rsidTr="00A53AB4">
        <w:trPr>
          <w:tblCellSpacing w:w="15" w:type="dxa"/>
        </w:trPr>
        <w:tc>
          <w:tcPr>
            <w:tcW w:w="1373" w:type="dxa"/>
            <w:vAlign w:val="center"/>
            <w:hideMark/>
          </w:tcPr>
          <w:p w14:paraId="0CB2DEE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5</w:t>
            </w:r>
          </w:p>
        </w:tc>
        <w:tc>
          <w:tcPr>
            <w:tcW w:w="6774" w:type="dxa"/>
            <w:vAlign w:val="center"/>
            <w:hideMark/>
          </w:tcPr>
          <w:p w14:paraId="451D9038"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b/>
                <w:bCs/>
                <w:sz w:val="28"/>
                <w:szCs w:val="28"/>
              </w:rPr>
              <w:t>METRICS TO MEASURE</w:t>
            </w:r>
          </w:p>
        </w:tc>
        <w:tc>
          <w:tcPr>
            <w:tcW w:w="1372" w:type="dxa"/>
            <w:vAlign w:val="center"/>
            <w:hideMark/>
          </w:tcPr>
          <w:p w14:paraId="1A328173"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21</w:t>
            </w:r>
          </w:p>
        </w:tc>
      </w:tr>
      <w:tr w:rsidR="00A53AB4" w:rsidRPr="00A53AB4" w14:paraId="3DA36C2A" w14:textId="77777777" w:rsidTr="00A53AB4">
        <w:trPr>
          <w:tblCellSpacing w:w="15" w:type="dxa"/>
        </w:trPr>
        <w:tc>
          <w:tcPr>
            <w:tcW w:w="1373" w:type="dxa"/>
            <w:vAlign w:val="center"/>
            <w:hideMark/>
          </w:tcPr>
          <w:p w14:paraId="7FCD915C"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5.1</w:t>
            </w:r>
          </w:p>
        </w:tc>
        <w:tc>
          <w:tcPr>
            <w:tcW w:w="6774" w:type="dxa"/>
            <w:vAlign w:val="center"/>
            <w:hideMark/>
          </w:tcPr>
          <w:p w14:paraId="0C4E780D"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KPI Selection</w:t>
            </w:r>
          </w:p>
        </w:tc>
        <w:tc>
          <w:tcPr>
            <w:tcW w:w="1372" w:type="dxa"/>
            <w:vAlign w:val="center"/>
            <w:hideMark/>
          </w:tcPr>
          <w:p w14:paraId="3960477D"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21</w:t>
            </w:r>
          </w:p>
        </w:tc>
      </w:tr>
      <w:tr w:rsidR="00A53AB4" w:rsidRPr="00A53AB4" w14:paraId="7455669E" w14:textId="77777777" w:rsidTr="00A53AB4">
        <w:trPr>
          <w:tblCellSpacing w:w="15" w:type="dxa"/>
        </w:trPr>
        <w:tc>
          <w:tcPr>
            <w:tcW w:w="1373" w:type="dxa"/>
            <w:vAlign w:val="center"/>
            <w:hideMark/>
          </w:tcPr>
          <w:p w14:paraId="4179545C"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5.2</w:t>
            </w:r>
          </w:p>
        </w:tc>
        <w:tc>
          <w:tcPr>
            <w:tcW w:w="6774" w:type="dxa"/>
            <w:vAlign w:val="center"/>
            <w:hideMark/>
          </w:tcPr>
          <w:p w14:paraId="66A623BD"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Energy and Cost Performance Metrics</w:t>
            </w:r>
          </w:p>
        </w:tc>
        <w:tc>
          <w:tcPr>
            <w:tcW w:w="1372" w:type="dxa"/>
            <w:vAlign w:val="center"/>
            <w:hideMark/>
          </w:tcPr>
          <w:p w14:paraId="0EB5ED18"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22</w:t>
            </w:r>
          </w:p>
        </w:tc>
      </w:tr>
      <w:tr w:rsidR="00A53AB4" w:rsidRPr="00A53AB4" w14:paraId="5139706B" w14:textId="77777777" w:rsidTr="00A53AB4">
        <w:trPr>
          <w:tblCellSpacing w:w="15" w:type="dxa"/>
        </w:trPr>
        <w:tc>
          <w:tcPr>
            <w:tcW w:w="1373" w:type="dxa"/>
            <w:vAlign w:val="center"/>
            <w:hideMark/>
          </w:tcPr>
          <w:p w14:paraId="0B4E9E62"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5.3</w:t>
            </w:r>
          </w:p>
        </w:tc>
        <w:tc>
          <w:tcPr>
            <w:tcW w:w="6774" w:type="dxa"/>
            <w:vAlign w:val="center"/>
            <w:hideMark/>
          </w:tcPr>
          <w:p w14:paraId="621EC721"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Manufacturing and Production Performance Metrics</w:t>
            </w:r>
          </w:p>
        </w:tc>
        <w:tc>
          <w:tcPr>
            <w:tcW w:w="1372" w:type="dxa"/>
            <w:vAlign w:val="center"/>
            <w:hideMark/>
          </w:tcPr>
          <w:p w14:paraId="51CA194D"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23</w:t>
            </w:r>
          </w:p>
        </w:tc>
      </w:tr>
      <w:tr w:rsidR="00A53AB4" w:rsidRPr="00A53AB4" w14:paraId="2B7D672F" w14:textId="77777777" w:rsidTr="00A53AB4">
        <w:trPr>
          <w:tblCellSpacing w:w="15" w:type="dxa"/>
        </w:trPr>
        <w:tc>
          <w:tcPr>
            <w:tcW w:w="1373" w:type="dxa"/>
            <w:vAlign w:val="center"/>
            <w:hideMark/>
          </w:tcPr>
          <w:p w14:paraId="239AA3B9"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5.4</w:t>
            </w:r>
          </w:p>
        </w:tc>
        <w:tc>
          <w:tcPr>
            <w:tcW w:w="6774" w:type="dxa"/>
            <w:vAlign w:val="center"/>
            <w:hideMark/>
          </w:tcPr>
          <w:p w14:paraId="7E87A46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Service-Level and Environmental Metrics</w:t>
            </w:r>
          </w:p>
        </w:tc>
        <w:tc>
          <w:tcPr>
            <w:tcW w:w="1372" w:type="dxa"/>
            <w:vAlign w:val="center"/>
            <w:hideMark/>
          </w:tcPr>
          <w:p w14:paraId="34BC00F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23</w:t>
            </w:r>
          </w:p>
        </w:tc>
      </w:tr>
      <w:tr w:rsidR="00A53AB4" w:rsidRPr="00A53AB4" w14:paraId="08CAB5E2" w14:textId="77777777" w:rsidTr="00A53AB4">
        <w:trPr>
          <w:tblCellSpacing w:w="15" w:type="dxa"/>
        </w:trPr>
        <w:tc>
          <w:tcPr>
            <w:tcW w:w="1373" w:type="dxa"/>
            <w:vAlign w:val="center"/>
            <w:hideMark/>
          </w:tcPr>
          <w:p w14:paraId="04EC480D"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5.5</w:t>
            </w:r>
          </w:p>
        </w:tc>
        <w:tc>
          <w:tcPr>
            <w:tcW w:w="6774" w:type="dxa"/>
            <w:vAlign w:val="center"/>
            <w:hideMark/>
          </w:tcPr>
          <w:p w14:paraId="7794C341"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Multi-Dimensional Evaluation</w:t>
            </w:r>
          </w:p>
        </w:tc>
        <w:tc>
          <w:tcPr>
            <w:tcW w:w="1372" w:type="dxa"/>
            <w:vAlign w:val="center"/>
            <w:hideMark/>
          </w:tcPr>
          <w:p w14:paraId="21139F1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24</w:t>
            </w:r>
          </w:p>
        </w:tc>
      </w:tr>
      <w:tr w:rsidR="00A53AB4" w:rsidRPr="00A53AB4" w14:paraId="538E04AD" w14:textId="77777777" w:rsidTr="00A53AB4">
        <w:trPr>
          <w:tblCellSpacing w:w="15" w:type="dxa"/>
        </w:trPr>
        <w:tc>
          <w:tcPr>
            <w:tcW w:w="1373" w:type="dxa"/>
            <w:vAlign w:val="center"/>
            <w:hideMark/>
          </w:tcPr>
          <w:p w14:paraId="63B05CF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w:t>
            </w:r>
          </w:p>
        </w:tc>
        <w:tc>
          <w:tcPr>
            <w:tcW w:w="6774" w:type="dxa"/>
            <w:vAlign w:val="center"/>
            <w:hideMark/>
          </w:tcPr>
          <w:p w14:paraId="7FEC577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b/>
                <w:bCs/>
                <w:sz w:val="28"/>
                <w:szCs w:val="28"/>
              </w:rPr>
              <w:t>RESULT REVIEW</w:t>
            </w:r>
          </w:p>
        </w:tc>
        <w:tc>
          <w:tcPr>
            <w:tcW w:w="1372" w:type="dxa"/>
            <w:vAlign w:val="center"/>
            <w:hideMark/>
          </w:tcPr>
          <w:p w14:paraId="28E425E2"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25</w:t>
            </w:r>
          </w:p>
        </w:tc>
      </w:tr>
      <w:tr w:rsidR="00A53AB4" w:rsidRPr="00A53AB4" w14:paraId="306583DC" w14:textId="77777777" w:rsidTr="00A53AB4">
        <w:trPr>
          <w:tblCellSpacing w:w="15" w:type="dxa"/>
        </w:trPr>
        <w:tc>
          <w:tcPr>
            <w:tcW w:w="1373" w:type="dxa"/>
            <w:vAlign w:val="center"/>
            <w:hideMark/>
          </w:tcPr>
          <w:p w14:paraId="0A5635D2"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6.1</w:t>
            </w:r>
          </w:p>
        </w:tc>
        <w:tc>
          <w:tcPr>
            <w:tcW w:w="6774" w:type="dxa"/>
            <w:vAlign w:val="center"/>
            <w:hideMark/>
          </w:tcPr>
          <w:p w14:paraId="285B6C0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Benchmark Results</w:t>
            </w:r>
          </w:p>
        </w:tc>
        <w:tc>
          <w:tcPr>
            <w:tcW w:w="1372" w:type="dxa"/>
            <w:vAlign w:val="center"/>
            <w:hideMark/>
          </w:tcPr>
          <w:p w14:paraId="564BAE2B"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25</w:t>
            </w:r>
          </w:p>
        </w:tc>
      </w:tr>
      <w:tr w:rsidR="00A53AB4" w:rsidRPr="00A53AB4" w14:paraId="482465D7" w14:textId="77777777" w:rsidTr="00A53AB4">
        <w:trPr>
          <w:tblCellSpacing w:w="15" w:type="dxa"/>
        </w:trPr>
        <w:tc>
          <w:tcPr>
            <w:tcW w:w="1373" w:type="dxa"/>
            <w:vAlign w:val="center"/>
            <w:hideMark/>
          </w:tcPr>
          <w:p w14:paraId="41805967"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6.2</w:t>
            </w:r>
          </w:p>
        </w:tc>
        <w:tc>
          <w:tcPr>
            <w:tcW w:w="6774" w:type="dxa"/>
            <w:vAlign w:val="center"/>
            <w:hideMark/>
          </w:tcPr>
          <w:p w14:paraId="73F28D0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Energy Cost and Production Performance</w:t>
            </w:r>
          </w:p>
        </w:tc>
        <w:tc>
          <w:tcPr>
            <w:tcW w:w="1372" w:type="dxa"/>
            <w:vAlign w:val="center"/>
            <w:hideMark/>
          </w:tcPr>
          <w:p w14:paraId="3B18F965"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26</w:t>
            </w:r>
          </w:p>
        </w:tc>
      </w:tr>
      <w:tr w:rsidR="00A53AB4" w:rsidRPr="00A53AB4" w14:paraId="5ABF792A" w14:textId="77777777" w:rsidTr="00A53AB4">
        <w:trPr>
          <w:tblCellSpacing w:w="15" w:type="dxa"/>
        </w:trPr>
        <w:tc>
          <w:tcPr>
            <w:tcW w:w="1373" w:type="dxa"/>
            <w:vAlign w:val="center"/>
            <w:hideMark/>
          </w:tcPr>
          <w:p w14:paraId="3763D441"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6.3</w:t>
            </w:r>
          </w:p>
        </w:tc>
        <w:tc>
          <w:tcPr>
            <w:tcW w:w="6774" w:type="dxa"/>
            <w:vAlign w:val="center"/>
            <w:hideMark/>
          </w:tcPr>
          <w:p w14:paraId="0BD291B7"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Peak Load, Deadline and Environmental Performance</w:t>
            </w:r>
          </w:p>
        </w:tc>
        <w:tc>
          <w:tcPr>
            <w:tcW w:w="1372" w:type="dxa"/>
            <w:vAlign w:val="center"/>
            <w:hideMark/>
          </w:tcPr>
          <w:p w14:paraId="282CD3A0"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27</w:t>
            </w:r>
          </w:p>
        </w:tc>
      </w:tr>
      <w:tr w:rsidR="00A53AB4" w:rsidRPr="00A53AB4" w14:paraId="246FC25E" w14:textId="77777777" w:rsidTr="00A53AB4">
        <w:trPr>
          <w:tblCellSpacing w:w="15" w:type="dxa"/>
        </w:trPr>
        <w:tc>
          <w:tcPr>
            <w:tcW w:w="1373" w:type="dxa"/>
            <w:vAlign w:val="center"/>
            <w:hideMark/>
          </w:tcPr>
          <w:p w14:paraId="7E982A81"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6.4</w:t>
            </w:r>
          </w:p>
        </w:tc>
        <w:tc>
          <w:tcPr>
            <w:tcW w:w="6774" w:type="dxa"/>
            <w:vAlign w:val="center"/>
            <w:hideMark/>
          </w:tcPr>
          <w:p w14:paraId="2EA3866F"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Overall Comparison and Interpretation</w:t>
            </w:r>
          </w:p>
        </w:tc>
        <w:tc>
          <w:tcPr>
            <w:tcW w:w="1372" w:type="dxa"/>
            <w:vAlign w:val="center"/>
            <w:hideMark/>
          </w:tcPr>
          <w:p w14:paraId="526915A2"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28</w:t>
            </w:r>
          </w:p>
        </w:tc>
      </w:tr>
      <w:tr w:rsidR="00A53AB4" w:rsidRPr="00A53AB4" w14:paraId="38CCF944" w14:textId="77777777" w:rsidTr="00A53AB4">
        <w:trPr>
          <w:tblCellSpacing w:w="15" w:type="dxa"/>
        </w:trPr>
        <w:tc>
          <w:tcPr>
            <w:tcW w:w="1373" w:type="dxa"/>
            <w:vAlign w:val="center"/>
            <w:hideMark/>
          </w:tcPr>
          <w:p w14:paraId="6E8053CE"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6.5</w:t>
            </w:r>
          </w:p>
        </w:tc>
        <w:tc>
          <w:tcPr>
            <w:tcW w:w="6774" w:type="dxa"/>
            <w:vAlign w:val="center"/>
            <w:hideMark/>
          </w:tcPr>
          <w:p w14:paraId="4C1C06DD"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Dashboard and Visualization</w:t>
            </w:r>
          </w:p>
        </w:tc>
        <w:tc>
          <w:tcPr>
            <w:tcW w:w="1372" w:type="dxa"/>
            <w:vAlign w:val="center"/>
            <w:hideMark/>
          </w:tcPr>
          <w:p w14:paraId="6A401E08"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29</w:t>
            </w:r>
          </w:p>
        </w:tc>
      </w:tr>
      <w:tr w:rsidR="00A53AB4" w:rsidRPr="00A53AB4" w14:paraId="555A86BC" w14:textId="77777777" w:rsidTr="00A53AB4">
        <w:trPr>
          <w:tblCellSpacing w:w="15" w:type="dxa"/>
        </w:trPr>
        <w:tc>
          <w:tcPr>
            <w:tcW w:w="1373" w:type="dxa"/>
            <w:vAlign w:val="center"/>
            <w:hideMark/>
          </w:tcPr>
          <w:p w14:paraId="2A836FCF"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6.6</w:t>
            </w:r>
          </w:p>
        </w:tc>
        <w:tc>
          <w:tcPr>
            <w:tcW w:w="6774" w:type="dxa"/>
            <w:vAlign w:val="center"/>
            <w:hideMark/>
          </w:tcPr>
          <w:p w14:paraId="0F652454"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Result Limitations</w:t>
            </w:r>
          </w:p>
        </w:tc>
        <w:tc>
          <w:tcPr>
            <w:tcW w:w="1372" w:type="dxa"/>
            <w:vAlign w:val="center"/>
            <w:hideMark/>
          </w:tcPr>
          <w:p w14:paraId="362F72F9" w14:textId="77777777" w:rsidR="00A53AB4" w:rsidRPr="00A53AB4" w:rsidRDefault="00A53AB4" w:rsidP="00A53AB4">
            <w:pPr>
              <w:spacing w:line="360" w:lineRule="auto"/>
              <w:jc w:val="both"/>
              <w:rPr>
                <w:rFonts w:ascii="Times New Roman" w:hAnsi="Times New Roman" w:cs="Times New Roman"/>
                <w:sz w:val="28"/>
                <w:szCs w:val="28"/>
              </w:rPr>
            </w:pPr>
            <w:r w:rsidRPr="00A53AB4">
              <w:rPr>
                <w:rFonts w:ascii="Times New Roman" w:hAnsi="Times New Roman" w:cs="Times New Roman"/>
                <w:sz w:val="28"/>
                <w:szCs w:val="28"/>
              </w:rPr>
              <w:t>29</w:t>
            </w:r>
          </w:p>
        </w:tc>
      </w:tr>
    </w:tbl>
    <w:p w14:paraId="478E79CE" w14:textId="77777777" w:rsidR="00A53AB4" w:rsidRPr="00A53AB4" w:rsidRDefault="00A53AB4" w:rsidP="00A53AB4">
      <w:pPr>
        <w:spacing w:line="360" w:lineRule="auto"/>
        <w:jc w:val="both"/>
        <w:rPr>
          <w:rFonts w:ascii="Times New Roman" w:hAnsi="Times New Roman" w:cs="Times New Roman"/>
          <w:sz w:val="28"/>
          <w:szCs w:val="28"/>
        </w:rPr>
      </w:pPr>
    </w:p>
    <w:p w14:paraId="755A93D7" w14:textId="77777777" w:rsidR="00A53AB4" w:rsidRPr="00A53AB4" w:rsidRDefault="00A53AB4" w:rsidP="00D066A2">
      <w:pPr>
        <w:spacing w:line="360" w:lineRule="auto"/>
        <w:jc w:val="both"/>
        <w:rPr>
          <w:rFonts w:ascii="Times New Roman" w:hAnsi="Times New Roman" w:cs="Times New Roman"/>
          <w:b/>
          <w:bCs/>
          <w:sz w:val="28"/>
          <w:szCs w:val="28"/>
        </w:rPr>
      </w:pPr>
    </w:p>
    <w:p w14:paraId="5DC2CABE" w14:textId="77777777" w:rsidR="00A53AB4" w:rsidRPr="00A53AB4" w:rsidRDefault="00A53AB4" w:rsidP="00D066A2">
      <w:pPr>
        <w:spacing w:line="360" w:lineRule="auto"/>
        <w:jc w:val="both"/>
        <w:rPr>
          <w:rFonts w:ascii="Times New Roman" w:hAnsi="Times New Roman" w:cs="Times New Roman"/>
          <w:b/>
          <w:bCs/>
          <w:sz w:val="28"/>
          <w:szCs w:val="28"/>
        </w:rPr>
      </w:pPr>
    </w:p>
    <w:p w14:paraId="4B8BF346" w14:textId="62A8FA89" w:rsidR="00D066A2" w:rsidRPr="00A53AB4" w:rsidRDefault="00D066A2" w:rsidP="00A53AB4">
      <w:pPr>
        <w:spacing w:line="360" w:lineRule="auto"/>
        <w:jc w:val="both"/>
        <w:rPr>
          <w:rFonts w:ascii="Times New Roman" w:hAnsi="Times New Roman" w:cs="Times New Roman"/>
          <w:b/>
          <w:bCs/>
          <w:sz w:val="28"/>
          <w:szCs w:val="28"/>
        </w:rPr>
      </w:pPr>
      <w:r w:rsidRPr="00A53AB4">
        <w:rPr>
          <w:rFonts w:ascii="Times New Roman" w:hAnsi="Times New Roman" w:cs="Times New Roman"/>
          <w:b/>
          <w:bCs/>
          <w:sz w:val="28"/>
          <w:szCs w:val="28"/>
        </w:rPr>
        <w:lastRenderedPageBreak/>
        <w:t>1. INTRODUCTION</w:t>
      </w:r>
    </w:p>
    <w:p w14:paraId="5300926E" w14:textId="77777777"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Overview of the Problem Domain</w:t>
      </w:r>
    </w:p>
    <w:p w14:paraId="57FE632C"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Modern manufacturing industries need to improve production efficiency while reducing operational costs, energy consumption, peak power demand, carbon emissions, and production delays. Manufacturing scheduling is inherently complex because it involves multiple heterogeneous machines, different job processing requirements, machine compatibility, setup and changeover requirements, arrival times, priorities, and production deadlines.</w:t>
      </w:r>
    </w:p>
    <w:p w14:paraId="552F6753"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Traditional scheduling methods such as First-Come-First-Served (FCFS), Shortest Processing Time (SPT), Longest Processing Time (LPT), and Earliest Due Date (EDD) primarily focus on production-related factors such as processing time, machine availability, workload, and deadlines. These approaches generally do not account for changing electricity tariffs, machine-level energy consumption, or forecasted future energy conditions. As a result, energy-intensive manufacturing operations may be scheduled during expensive peak-tariff periods, increasing overall energy costs and peak power demand.</w:t>
      </w:r>
    </w:p>
    <w:p w14:paraId="169BBAEA"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Modern smart manufacturing therefore requires scheduling approaches that consider both production requirements and energy-related factors. Manufacturing Analytics provides a way to address this challenge by integrating industrial data preprocessing, feature engineering, machine learning-based forecasting, heuristic scheduling, constraint-based optimization, and performance visualization.</w:t>
      </w:r>
    </w:p>
    <w:p w14:paraId="2E9BC61B" w14:textId="77777777" w:rsidR="00A53AB4" w:rsidRDefault="00A53AB4" w:rsidP="00A53AB4">
      <w:pPr>
        <w:spacing w:line="360" w:lineRule="auto"/>
        <w:jc w:val="both"/>
        <w:rPr>
          <w:rFonts w:ascii="Times New Roman" w:hAnsi="Times New Roman" w:cs="Times New Roman"/>
          <w:b/>
          <w:bCs/>
        </w:rPr>
      </w:pPr>
    </w:p>
    <w:p w14:paraId="6F5E5BBA" w14:textId="25043CC3"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Energy-Aware Scheduling</w:t>
      </w:r>
    </w:p>
    <w:p w14:paraId="11F1DBAB"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proposed system implements a </w:t>
      </w:r>
      <w:r w:rsidRPr="00A53AB4">
        <w:rPr>
          <w:rFonts w:ascii="Times New Roman" w:hAnsi="Times New Roman" w:cs="Times New Roman"/>
          <w:b/>
          <w:bCs/>
        </w:rPr>
        <w:t>Predict-then-Optimize Framework</w:t>
      </w:r>
      <w:r w:rsidRPr="00A53AB4">
        <w:rPr>
          <w:rFonts w:ascii="Times New Roman" w:hAnsi="Times New Roman" w:cs="Times New Roman"/>
        </w:rPr>
        <w:t xml:space="preserve"> that integrates probabilistic energy forecasting with manufacturing scheduling. The framework considers job arrival time, processing duration, priority, deadline, machine compatibility, sequence-dependent setup requirements, machine active and idle power, setup power, Time-of-Use electricity tariffs, forecasted future energy conditions, and peak grid-load constraints. The scheduling framework first generates forecasts of future energy conditions and then uses these predictions to support energy-aware scheduling decisions. Flexible manufacturing jobs can be shifted toward lower-cost periods when machine compatibility, production priorities, and deadline constraints permit.</w:t>
      </w:r>
    </w:p>
    <w:p w14:paraId="0684F495"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lastRenderedPageBreak/>
        <w:t xml:space="preserve">The framework includes both heuristic and constraint-based scheduling methods. The proposed </w:t>
      </w:r>
      <w:r w:rsidRPr="00A53AB4">
        <w:rPr>
          <w:rFonts w:ascii="Times New Roman" w:hAnsi="Times New Roman" w:cs="Times New Roman"/>
          <w:b/>
          <w:bCs/>
        </w:rPr>
        <w:t>Forecast-Driven Priority Dispatching with Tariff Shifting (FD-PDTS)</w:t>
      </w:r>
      <w:r w:rsidRPr="00A53AB4">
        <w:rPr>
          <w:rFonts w:ascii="Times New Roman" w:hAnsi="Times New Roman" w:cs="Times New Roman"/>
        </w:rPr>
        <w:t xml:space="preserve"> methods use forecast information to prioritize and position jobs, while an </w:t>
      </w:r>
      <w:r w:rsidRPr="00A53AB4">
        <w:rPr>
          <w:rFonts w:ascii="Times New Roman" w:hAnsi="Times New Roman" w:cs="Times New Roman"/>
          <w:b/>
          <w:bCs/>
        </w:rPr>
        <w:t>OR-Tools CP-SAT</w:t>
      </w:r>
      <w:r w:rsidRPr="00A53AB4">
        <w:rPr>
          <w:rFonts w:ascii="Times New Roman" w:hAnsi="Times New Roman" w:cs="Times New Roman"/>
        </w:rPr>
        <w:t xml:space="preserve"> optimization model can refine the resulting schedule. The hybrid approach uses the FD-PDTS Robust schedule as a warm-start solution for CP-SAT.</w:t>
      </w:r>
    </w:p>
    <w:p w14:paraId="41372D5B" w14:textId="77777777" w:rsidR="00A53AB4" w:rsidRDefault="00A53AB4" w:rsidP="00A53AB4">
      <w:pPr>
        <w:spacing w:line="360" w:lineRule="auto"/>
        <w:jc w:val="both"/>
        <w:rPr>
          <w:rFonts w:ascii="Times New Roman" w:hAnsi="Times New Roman" w:cs="Times New Roman"/>
          <w:b/>
          <w:bCs/>
        </w:rPr>
      </w:pPr>
    </w:p>
    <w:p w14:paraId="35A7BA37" w14:textId="290BB54E"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Role of Forecasting</w:t>
      </w:r>
    </w:p>
    <w:p w14:paraId="7E9FB1C2"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Historical industrial energy data is processed through a preprocessing and feature-engineering pipeline and used to forecast future energy behaviour. The project uses </w:t>
      </w:r>
      <w:r w:rsidRPr="00A53AB4">
        <w:rPr>
          <w:rFonts w:ascii="Times New Roman" w:hAnsi="Times New Roman" w:cs="Times New Roman"/>
          <w:b/>
          <w:bCs/>
        </w:rPr>
        <w:t xml:space="preserve">multi-quantile </w:t>
      </w:r>
      <w:proofErr w:type="spellStart"/>
      <w:r w:rsidRPr="00A53AB4">
        <w:rPr>
          <w:rFonts w:ascii="Times New Roman" w:hAnsi="Times New Roman" w:cs="Times New Roman"/>
          <w:b/>
          <w:bCs/>
        </w:rPr>
        <w:t>XGBoost</w:t>
      </w:r>
      <w:proofErr w:type="spellEnd"/>
      <w:r w:rsidRPr="00A53AB4">
        <w:rPr>
          <w:rFonts w:ascii="Times New Roman" w:hAnsi="Times New Roman" w:cs="Times New Roman"/>
          <w:b/>
          <w:bCs/>
        </w:rPr>
        <w:t xml:space="preserve"> models</w:t>
      </w:r>
      <w:r w:rsidRPr="00A53AB4">
        <w:rPr>
          <w:rFonts w:ascii="Times New Roman" w:hAnsi="Times New Roman" w:cs="Times New Roman"/>
        </w:rPr>
        <w:t xml:space="preserve"> to generate probabilistic predictions rather than relying only on a single expected value. For active energy consumption and carbon emissions, the forecasting engine generates p10, p50, and p90 predictions, representing optimistic lower-bound, median expected, and conservative upper-bound energy conditions. Power factor is forecast using a p50 model.</w:t>
      </w:r>
    </w:p>
    <w:p w14:paraId="4F736140"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forecasting models use tariff-based sample weighting so that observations associated with higher-load tariff periods receive greater importance. To maintain valid quantile ordering, an observation-level monotone rearrangement is applied to enforce </w:t>
      </w:r>
      <w:r w:rsidRPr="00A53AB4">
        <w:rPr>
          <w:rFonts w:ascii="Times New Roman" w:hAnsi="Times New Roman" w:cs="Times New Roman"/>
          <w:b/>
          <w:bCs/>
        </w:rPr>
        <w:t>p10 ≤ p50 ≤ p90</w:t>
      </w:r>
      <w:r w:rsidRPr="00A53AB4">
        <w:rPr>
          <w:rFonts w:ascii="Times New Roman" w:hAnsi="Times New Roman" w:cs="Times New Roman"/>
        </w:rPr>
        <w:t>. The forecasting process also performs recursive multi-step prediction for the 48-hour scheduling horizon, dynamically updating lag and rolling statistical features at each forecast step. These forecasts provide the scheduling engine with information about expected future energy and carbon conditions.</w:t>
      </w:r>
    </w:p>
    <w:p w14:paraId="62D92BB8" w14:textId="77777777" w:rsidR="00A53AB4" w:rsidRDefault="00A53AB4" w:rsidP="00A53AB4">
      <w:pPr>
        <w:spacing w:line="360" w:lineRule="auto"/>
        <w:jc w:val="both"/>
        <w:rPr>
          <w:rFonts w:ascii="Times New Roman" w:hAnsi="Times New Roman" w:cs="Times New Roman"/>
          <w:b/>
          <w:bCs/>
        </w:rPr>
      </w:pPr>
    </w:p>
    <w:p w14:paraId="1866C52B" w14:textId="7CD3C27D"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Electricity Tariffs</w:t>
      </w:r>
    </w:p>
    <w:p w14:paraId="39A6D232"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system considers a three-level </w:t>
      </w:r>
      <w:r w:rsidRPr="00A53AB4">
        <w:rPr>
          <w:rFonts w:ascii="Times New Roman" w:hAnsi="Times New Roman" w:cs="Times New Roman"/>
          <w:b/>
          <w:bCs/>
        </w:rPr>
        <w:t>Time-of-Use (</w:t>
      </w:r>
      <w:proofErr w:type="spellStart"/>
      <w:r w:rsidRPr="00A53AB4">
        <w:rPr>
          <w:rFonts w:ascii="Times New Roman" w:hAnsi="Times New Roman" w:cs="Times New Roman"/>
          <w:b/>
          <w:bCs/>
        </w:rPr>
        <w:t>ToU</w:t>
      </w:r>
      <w:proofErr w:type="spellEnd"/>
      <w:r w:rsidRPr="00A53AB4">
        <w:rPr>
          <w:rFonts w:ascii="Times New Roman" w:hAnsi="Times New Roman" w:cs="Times New Roman"/>
          <w:b/>
          <w:bCs/>
        </w:rPr>
        <w:t>)</w:t>
      </w:r>
      <w:r w:rsidRPr="00A53AB4">
        <w:rPr>
          <w:rFonts w:ascii="Times New Roman" w:hAnsi="Times New Roman" w:cs="Times New Roman"/>
        </w:rPr>
        <w:t xml:space="preserve"> electricity tariff structure:</w:t>
      </w:r>
    </w:p>
    <w:tbl>
      <w:tblPr>
        <w:tblStyle w:val="PlainTable1"/>
        <w:tblW w:w="0" w:type="auto"/>
        <w:tblLook w:val="04A0" w:firstRow="1" w:lastRow="0" w:firstColumn="1" w:lastColumn="0" w:noHBand="0" w:noVBand="1"/>
      </w:tblPr>
      <w:tblGrid>
        <w:gridCol w:w="2910"/>
        <w:gridCol w:w="3003"/>
        <w:gridCol w:w="1410"/>
      </w:tblGrid>
      <w:tr w:rsidR="00D066A2" w:rsidRPr="00A53AB4" w14:paraId="21EE837C" w14:textId="77777777" w:rsidTr="00D06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A9E42"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Tariff Period</w:t>
            </w:r>
          </w:p>
        </w:tc>
        <w:tc>
          <w:tcPr>
            <w:tcW w:w="0" w:type="auto"/>
            <w:hideMark/>
          </w:tcPr>
          <w:p w14:paraId="10F61881" w14:textId="77777777" w:rsidR="00D066A2" w:rsidRPr="00A53AB4" w:rsidRDefault="00D066A2"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Operating Hours</w:t>
            </w:r>
          </w:p>
        </w:tc>
        <w:tc>
          <w:tcPr>
            <w:tcW w:w="0" w:type="auto"/>
            <w:hideMark/>
          </w:tcPr>
          <w:p w14:paraId="4C16CE20" w14:textId="77777777" w:rsidR="00D066A2" w:rsidRPr="00A53AB4" w:rsidRDefault="00D066A2"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Cost</w:t>
            </w:r>
          </w:p>
        </w:tc>
      </w:tr>
      <w:tr w:rsidR="00D066A2" w:rsidRPr="00A53AB4" w14:paraId="5F4E0055"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6E810"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Light Load (Off-Peak)</w:t>
            </w:r>
          </w:p>
        </w:tc>
        <w:tc>
          <w:tcPr>
            <w:tcW w:w="0" w:type="auto"/>
            <w:hideMark/>
          </w:tcPr>
          <w:p w14:paraId="13719A9D"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22:00 – 06:00</w:t>
            </w:r>
          </w:p>
        </w:tc>
        <w:tc>
          <w:tcPr>
            <w:tcW w:w="0" w:type="auto"/>
            <w:hideMark/>
          </w:tcPr>
          <w:p w14:paraId="084522A0"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₹4.00/kWh</w:t>
            </w:r>
          </w:p>
        </w:tc>
      </w:tr>
      <w:tr w:rsidR="00D066A2" w:rsidRPr="00A53AB4" w14:paraId="0165DEA3"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4E6F9D29"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Medium Load (Mid-Peak)</w:t>
            </w:r>
          </w:p>
        </w:tc>
        <w:tc>
          <w:tcPr>
            <w:tcW w:w="0" w:type="auto"/>
            <w:hideMark/>
          </w:tcPr>
          <w:p w14:paraId="2AED1765"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06:00 – 08:00, 18:00 – 22:00</w:t>
            </w:r>
          </w:p>
        </w:tc>
        <w:tc>
          <w:tcPr>
            <w:tcW w:w="0" w:type="auto"/>
            <w:hideMark/>
          </w:tcPr>
          <w:p w14:paraId="64A74DF0"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₹7.50/kWh</w:t>
            </w:r>
          </w:p>
        </w:tc>
      </w:tr>
      <w:tr w:rsidR="00D066A2" w:rsidRPr="00A53AB4" w14:paraId="45963619"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ABCA7"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Maximum Load (Peak)</w:t>
            </w:r>
          </w:p>
        </w:tc>
        <w:tc>
          <w:tcPr>
            <w:tcW w:w="0" w:type="auto"/>
            <w:hideMark/>
          </w:tcPr>
          <w:p w14:paraId="68C4174D"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08:00 – 18:00</w:t>
            </w:r>
          </w:p>
        </w:tc>
        <w:tc>
          <w:tcPr>
            <w:tcW w:w="0" w:type="auto"/>
            <w:hideMark/>
          </w:tcPr>
          <w:p w14:paraId="45BED8F6"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₹12.00/kWh</w:t>
            </w:r>
          </w:p>
        </w:tc>
      </w:tr>
    </w:tbl>
    <w:p w14:paraId="5B708570" w14:textId="77777777" w:rsidR="007D63F6" w:rsidRPr="00A53AB4" w:rsidRDefault="007D63F6" w:rsidP="00A53AB4">
      <w:pPr>
        <w:spacing w:line="360" w:lineRule="auto"/>
        <w:jc w:val="both"/>
        <w:rPr>
          <w:rFonts w:ascii="Times New Roman" w:hAnsi="Times New Roman" w:cs="Times New Roman"/>
        </w:rPr>
      </w:pPr>
    </w:p>
    <w:p w14:paraId="0070ED6E" w14:textId="77777777" w:rsidR="00A53AB4"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lastRenderedPageBreak/>
        <w:t>The scheduler attempts to shift flexible manufacturing operations toward lower-cost tariff periods while respecting machine compatibility, job availability, priority-based shifting limits, setup requirements, and production deadlines. Peak grid demand is also considered through a soft peak-load guard.</w:t>
      </w:r>
    </w:p>
    <w:p w14:paraId="03CBD473" w14:textId="77777777" w:rsidR="00A53AB4" w:rsidRDefault="00A53AB4" w:rsidP="00A53AB4">
      <w:pPr>
        <w:spacing w:line="360" w:lineRule="auto"/>
        <w:jc w:val="both"/>
        <w:rPr>
          <w:rFonts w:ascii="Times New Roman" w:hAnsi="Times New Roman" w:cs="Times New Roman"/>
          <w:b/>
          <w:bCs/>
        </w:rPr>
      </w:pPr>
    </w:p>
    <w:p w14:paraId="3C72CC6E" w14:textId="406F2ADA"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b/>
          <w:bCs/>
        </w:rPr>
        <w:t>Objectives and Scope</w:t>
      </w:r>
    </w:p>
    <w:p w14:paraId="1B19624B"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main objective of the proposed framework is to reduce energy-related costs and peak power demand while maintaining production requirements and deadline compliance. The system evaluates scheduling strategies using operational, energy, service-level, and environmental KPIs, including total energy cost, peak grid load, total active energy, power factor penalty, </w:t>
      </w:r>
      <w:proofErr w:type="spellStart"/>
      <w:r w:rsidRPr="00A53AB4">
        <w:rPr>
          <w:rFonts w:ascii="Times New Roman" w:hAnsi="Times New Roman" w:cs="Times New Roman"/>
        </w:rPr>
        <w:t>makespan</w:t>
      </w:r>
      <w:proofErr w:type="spellEnd"/>
      <w:r w:rsidRPr="00A53AB4">
        <w:rPr>
          <w:rFonts w:ascii="Times New Roman" w:hAnsi="Times New Roman" w:cs="Times New Roman"/>
        </w:rPr>
        <w:t>, machine utilization, average waiting time, total idle time, total delay, late jobs count, on-time completion, and carbon emissions.</w:t>
      </w:r>
    </w:p>
    <w:p w14:paraId="23D6A077"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project is designed as a </w:t>
      </w:r>
      <w:r w:rsidRPr="00A53AB4">
        <w:rPr>
          <w:rFonts w:ascii="Times New Roman" w:hAnsi="Times New Roman" w:cs="Times New Roman"/>
          <w:b/>
          <w:bCs/>
        </w:rPr>
        <w:t>research prototype for evaluating forecast-driven energy-aware manufacturing scheduling techniques</w:t>
      </w:r>
      <w:r w:rsidRPr="00A53AB4">
        <w:rPr>
          <w:rFonts w:ascii="Times New Roman" w:hAnsi="Times New Roman" w:cs="Times New Roman"/>
        </w:rPr>
        <w:t>, rather than as a direct industrial plant-control system. Its purpose is to demonstrate how energy forecasting, tariff information, heuristic dispatching, and constraint-based optimization can be integrated into a unified smart manufacturing scheduling framework.</w:t>
      </w:r>
    </w:p>
    <w:p w14:paraId="40BB4A34" w14:textId="77777777" w:rsidR="00B178DE" w:rsidRPr="00A53AB4" w:rsidRDefault="00B178DE" w:rsidP="00A53AB4">
      <w:pPr>
        <w:spacing w:line="360" w:lineRule="auto"/>
        <w:jc w:val="both"/>
        <w:rPr>
          <w:rFonts w:ascii="Times New Roman" w:hAnsi="Times New Roman" w:cs="Times New Roman"/>
          <w:sz w:val="28"/>
          <w:szCs w:val="28"/>
        </w:rPr>
      </w:pPr>
    </w:p>
    <w:p w14:paraId="43546DEF" w14:textId="77777777" w:rsidR="00552A87" w:rsidRPr="00A53AB4" w:rsidRDefault="00552A87" w:rsidP="00A53AB4">
      <w:pPr>
        <w:spacing w:line="360" w:lineRule="auto"/>
        <w:jc w:val="both"/>
        <w:rPr>
          <w:rFonts w:ascii="Times New Roman" w:hAnsi="Times New Roman" w:cs="Times New Roman"/>
          <w:b/>
          <w:bCs/>
          <w:sz w:val="28"/>
          <w:szCs w:val="28"/>
        </w:rPr>
      </w:pPr>
    </w:p>
    <w:p w14:paraId="3B48519E" w14:textId="77777777" w:rsidR="00552A87" w:rsidRPr="00A53AB4" w:rsidRDefault="00552A87" w:rsidP="00A53AB4">
      <w:pPr>
        <w:spacing w:line="360" w:lineRule="auto"/>
        <w:jc w:val="both"/>
        <w:rPr>
          <w:rFonts w:ascii="Times New Roman" w:hAnsi="Times New Roman" w:cs="Times New Roman"/>
          <w:b/>
          <w:bCs/>
          <w:sz w:val="28"/>
          <w:szCs w:val="28"/>
        </w:rPr>
      </w:pPr>
    </w:p>
    <w:p w14:paraId="421C1848" w14:textId="77777777" w:rsidR="00552A87" w:rsidRPr="00A53AB4" w:rsidRDefault="00552A87" w:rsidP="00A53AB4">
      <w:pPr>
        <w:spacing w:line="360" w:lineRule="auto"/>
        <w:jc w:val="both"/>
        <w:rPr>
          <w:rFonts w:ascii="Times New Roman" w:hAnsi="Times New Roman" w:cs="Times New Roman"/>
          <w:b/>
          <w:bCs/>
          <w:sz w:val="28"/>
          <w:szCs w:val="28"/>
        </w:rPr>
      </w:pPr>
    </w:p>
    <w:p w14:paraId="01076B3B" w14:textId="77777777" w:rsidR="00552A87" w:rsidRPr="00A53AB4" w:rsidRDefault="00552A87" w:rsidP="00A53AB4">
      <w:pPr>
        <w:spacing w:line="360" w:lineRule="auto"/>
        <w:jc w:val="both"/>
        <w:rPr>
          <w:rFonts w:ascii="Times New Roman" w:hAnsi="Times New Roman" w:cs="Times New Roman"/>
          <w:b/>
          <w:bCs/>
          <w:sz w:val="28"/>
          <w:szCs w:val="28"/>
        </w:rPr>
      </w:pPr>
    </w:p>
    <w:p w14:paraId="3F9F005B" w14:textId="77777777" w:rsidR="00552A87" w:rsidRPr="00A53AB4" w:rsidRDefault="00552A87" w:rsidP="00A53AB4">
      <w:pPr>
        <w:spacing w:line="360" w:lineRule="auto"/>
        <w:jc w:val="both"/>
        <w:rPr>
          <w:rFonts w:ascii="Times New Roman" w:hAnsi="Times New Roman" w:cs="Times New Roman"/>
          <w:b/>
          <w:bCs/>
          <w:sz w:val="28"/>
          <w:szCs w:val="28"/>
        </w:rPr>
      </w:pPr>
    </w:p>
    <w:p w14:paraId="397360AC" w14:textId="77777777" w:rsidR="00552A87" w:rsidRPr="00A53AB4" w:rsidRDefault="00552A87" w:rsidP="00A53AB4">
      <w:pPr>
        <w:spacing w:line="360" w:lineRule="auto"/>
        <w:jc w:val="both"/>
        <w:rPr>
          <w:rFonts w:ascii="Times New Roman" w:hAnsi="Times New Roman" w:cs="Times New Roman"/>
          <w:b/>
          <w:bCs/>
          <w:sz w:val="28"/>
          <w:szCs w:val="28"/>
        </w:rPr>
      </w:pPr>
    </w:p>
    <w:p w14:paraId="1EDEB03D" w14:textId="77777777" w:rsidR="00552A87" w:rsidRPr="00A53AB4" w:rsidRDefault="00552A87" w:rsidP="00A53AB4">
      <w:pPr>
        <w:spacing w:line="360" w:lineRule="auto"/>
        <w:jc w:val="both"/>
        <w:rPr>
          <w:rFonts w:ascii="Times New Roman" w:hAnsi="Times New Roman" w:cs="Times New Roman"/>
          <w:b/>
          <w:bCs/>
          <w:sz w:val="28"/>
          <w:szCs w:val="28"/>
        </w:rPr>
      </w:pPr>
    </w:p>
    <w:p w14:paraId="26F430CD" w14:textId="77777777" w:rsidR="00552A87" w:rsidRPr="00A53AB4" w:rsidRDefault="00552A87" w:rsidP="00A53AB4">
      <w:pPr>
        <w:spacing w:line="360" w:lineRule="auto"/>
        <w:jc w:val="both"/>
        <w:rPr>
          <w:rFonts w:ascii="Times New Roman" w:hAnsi="Times New Roman" w:cs="Times New Roman"/>
          <w:b/>
          <w:bCs/>
          <w:sz w:val="28"/>
          <w:szCs w:val="28"/>
        </w:rPr>
      </w:pPr>
    </w:p>
    <w:p w14:paraId="0AB8825F" w14:textId="77777777" w:rsidR="00A53AB4" w:rsidRDefault="00A53AB4" w:rsidP="00A53AB4">
      <w:pPr>
        <w:spacing w:line="360" w:lineRule="auto"/>
        <w:jc w:val="both"/>
        <w:rPr>
          <w:rFonts w:ascii="Times New Roman" w:hAnsi="Times New Roman" w:cs="Times New Roman"/>
          <w:b/>
          <w:bCs/>
          <w:sz w:val="28"/>
          <w:szCs w:val="28"/>
        </w:rPr>
      </w:pPr>
    </w:p>
    <w:p w14:paraId="64481F34" w14:textId="3DA1FECB" w:rsidR="00D066A2" w:rsidRPr="00A53AB4" w:rsidRDefault="00D066A2" w:rsidP="00A53AB4">
      <w:pPr>
        <w:spacing w:line="360" w:lineRule="auto"/>
        <w:jc w:val="both"/>
        <w:rPr>
          <w:rFonts w:ascii="Times New Roman" w:hAnsi="Times New Roman" w:cs="Times New Roman"/>
          <w:b/>
          <w:bCs/>
          <w:sz w:val="28"/>
          <w:szCs w:val="28"/>
        </w:rPr>
      </w:pPr>
      <w:r w:rsidRPr="00A53AB4">
        <w:rPr>
          <w:rFonts w:ascii="Times New Roman" w:hAnsi="Times New Roman" w:cs="Times New Roman"/>
          <w:b/>
          <w:bCs/>
          <w:sz w:val="28"/>
          <w:szCs w:val="28"/>
        </w:rPr>
        <w:lastRenderedPageBreak/>
        <w:t>2. PROBLEM STATEMENT</w:t>
      </w:r>
    </w:p>
    <w:p w14:paraId="3DE202A1"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Manufacturing scheduling involves assigning a set of jobs to a limited number of heterogeneous machines while satisfying operational and production constraints. Each job may have a different arrival time, processing duration, deadline, priority level, setup requirement, and set of compatible machines. Similarly, machines may differ in active power consumption, idle power consumption, setup power, and processing capabilities. In addition, electricity prices vary according to Time-of-Use (</w:t>
      </w:r>
      <w:proofErr w:type="spellStart"/>
      <w:r w:rsidRPr="00A53AB4">
        <w:rPr>
          <w:rFonts w:ascii="Times New Roman" w:hAnsi="Times New Roman" w:cs="Times New Roman"/>
        </w:rPr>
        <w:t>ToU</w:t>
      </w:r>
      <w:proofErr w:type="spellEnd"/>
      <w:r w:rsidRPr="00A53AB4">
        <w:rPr>
          <w:rFonts w:ascii="Times New Roman" w:hAnsi="Times New Roman" w:cs="Times New Roman"/>
        </w:rPr>
        <w:t>) tariff periods, creating opportunities to reduce energy costs by appropriately scheduling flexible manufacturing operations.</w:t>
      </w:r>
    </w:p>
    <w:p w14:paraId="228BB42E"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Conventional scheduling approaches such as First-Come-First-Served (FCFS), Shortest Processing Time (SPT), Longest Processing Time (LPT), and Earliest Due Date (EDD) primarily optimize production-oriented factors such as job ordering, processing duration, machine workload, and completion time. These approaches do not explicitly incorporate forecasted energy conditions, time-varying electricity tariffs, machine energy consumption, or peak grid-load considerations. Consequently, energy-intensive jobs may be processed during expensive Maximum-Load periods, while compatible energy-efficient machines may not be selected when conventional scheduling priorities dominate.</w:t>
      </w:r>
    </w:p>
    <w:p w14:paraId="648C0C72"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problem addressed in this project is to determine the appropriate </w:t>
      </w:r>
      <w:r w:rsidRPr="00A53AB4">
        <w:rPr>
          <w:rFonts w:ascii="Times New Roman" w:hAnsi="Times New Roman" w:cs="Times New Roman"/>
          <w:b/>
          <w:bCs/>
        </w:rPr>
        <w:t>machine assignment and start time for every manufacturing job</w:t>
      </w:r>
      <w:r w:rsidRPr="00A53AB4">
        <w:rPr>
          <w:rFonts w:ascii="Times New Roman" w:hAnsi="Times New Roman" w:cs="Times New Roman"/>
        </w:rPr>
        <w:t xml:space="preserve"> by integrating forecasted energy conditions with electricity tariffs and manufacturing constraints. The framework follows a </w:t>
      </w:r>
      <w:r w:rsidRPr="00A53AB4">
        <w:rPr>
          <w:rFonts w:ascii="Times New Roman" w:hAnsi="Times New Roman" w:cs="Times New Roman"/>
          <w:b/>
          <w:bCs/>
        </w:rPr>
        <w:t>Predict-then-Optimize</w:t>
      </w:r>
      <w:r w:rsidRPr="00A53AB4">
        <w:rPr>
          <w:rFonts w:ascii="Times New Roman" w:hAnsi="Times New Roman" w:cs="Times New Roman"/>
        </w:rPr>
        <w:t xml:space="preserve"> approach, in which forecast information generated by the multi-quantile </w:t>
      </w:r>
      <w:proofErr w:type="spellStart"/>
      <w:r w:rsidRPr="00A53AB4">
        <w:rPr>
          <w:rFonts w:ascii="Times New Roman" w:hAnsi="Times New Roman" w:cs="Times New Roman"/>
        </w:rPr>
        <w:t>XGBoost</w:t>
      </w:r>
      <w:proofErr w:type="spellEnd"/>
      <w:r w:rsidRPr="00A53AB4">
        <w:rPr>
          <w:rFonts w:ascii="Times New Roman" w:hAnsi="Times New Roman" w:cs="Times New Roman"/>
        </w:rPr>
        <w:t xml:space="preserve"> forecasting engine is provided to the scheduling and optimization components. The scheduling system evaluates multiple dispatching strategies, including baseline scheduling methods, FD-PDTS heuristic approaches, and OR-Tools CP-SAT optimization.</w:t>
      </w:r>
    </w:p>
    <w:p w14:paraId="6BC6530B"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The scheduling problem can therefore be represented as follows:</w:t>
      </w:r>
    </w:p>
    <w:tbl>
      <w:tblPr>
        <w:tblStyle w:val="PlainTable1"/>
        <w:tblW w:w="0" w:type="auto"/>
        <w:tblLook w:val="04A0" w:firstRow="1" w:lastRow="0" w:firstColumn="1" w:lastColumn="0" w:noHBand="0" w:noVBand="1"/>
      </w:tblPr>
      <w:tblGrid>
        <w:gridCol w:w="2423"/>
        <w:gridCol w:w="6593"/>
      </w:tblGrid>
      <w:tr w:rsidR="00D066A2" w:rsidRPr="00A53AB4" w14:paraId="4570D0B3" w14:textId="77777777" w:rsidTr="00D06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CC0D6"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Problem Component</w:t>
            </w:r>
          </w:p>
        </w:tc>
        <w:tc>
          <w:tcPr>
            <w:tcW w:w="0" w:type="auto"/>
            <w:hideMark/>
          </w:tcPr>
          <w:p w14:paraId="112EA4B1" w14:textId="77777777" w:rsidR="00D066A2" w:rsidRPr="00A53AB4" w:rsidRDefault="00D066A2"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Description</w:t>
            </w:r>
          </w:p>
        </w:tc>
      </w:tr>
      <w:tr w:rsidR="00D066A2" w:rsidRPr="00A53AB4" w14:paraId="41C9F065"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337ED"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Given</w:t>
            </w:r>
          </w:p>
        </w:tc>
        <w:tc>
          <w:tcPr>
            <w:tcW w:w="0" w:type="auto"/>
            <w:hideMark/>
          </w:tcPr>
          <w:p w14:paraId="5A852ADB"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Jobs, heterogeneous machines, forecasted energy conditions, electricity tariffs, and production constraints</w:t>
            </w:r>
          </w:p>
        </w:tc>
      </w:tr>
      <w:tr w:rsidR="00D066A2" w:rsidRPr="00A53AB4" w14:paraId="579516C7"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7B182E8D"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Determine</w:t>
            </w:r>
          </w:p>
        </w:tc>
        <w:tc>
          <w:tcPr>
            <w:tcW w:w="0" w:type="auto"/>
            <w:hideMark/>
          </w:tcPr>
          <w:p w14:paraId="69BECB96"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Machine assignment and start time for each job</w:t>
            </w:r>
          </w:p>
        </w:tc>
      </w:tr>
      <w:tr w:rsidR="00D066A2" w:rsidRPr="00A53AB4" w14:paraId="05F66D97"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7AF9B"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Primary Objective</w:t>
            </w:r>
          </w:p>
        </w:tc>
        <w:tc>
          <w:tcPr>
            <w:tcW w:w="0" w:type="auto"/>
            <w:hideMark/>
          </w:tcPr>
          <w:p w14:paraId="0F388296"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Minimize energy-related cost and peak power demand</w:t>
            </w:r>
          </w:p>
        </w:tc>
      </w:tr>
      <w:tr w:rsidR="00D066A2" w:rsidRPr="00A53AB4" w14:paraId="3DFA82A7"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59D6FD11"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Operational Requirements</w:t>
            </w:r>
          </w:p>
        </w:tc>
        <w:tc>
          <w:tcPr>
            <w:tcW w:w="0" w:type="auto"/>
            <w:hideMark/>
          </w:tcPr>
          <w:p w14:paraId="27B74C65"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Maintain production requirements and deadline compliance</w:t>
            </w:r>
          </w:p>
        </w:tc>
      </w:tr>
      <w:tr w:rsidR="00D066A2" w:rsidRPr="00A53AB4" w14:paraId="2848FB0D"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310D7"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Additional Considerations</w:t>
            </w:r>
          </w:p>
        </w:tc>
        <w:tc>
          <w:tcPr>
            <w:tcW w:w="0" w:type="auto"/>
            <w:hideMark/>
          </w:tcPr>
          <w:p w14:paraId="2F59EF95"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Waiting time, machine utilization, setup/changeover requirements, and carbon emissions</w:t>
            </w:r>
          </w:p>
        </w:tc>
      </w:tr>
    </w:tbl>
    <w:p w14:paraId="5D808CC6" w14:textId="77777777" w:rsidR="007D63F6" w:rsidRPr="00A53AB4" w:rsidRDefault="007D63F6" w:rsidP="00A53AB4">
      <w:pPr>
        <w:spacing w:line="360" w:lineRule="auto"/>
        <w:jc w:val="both"/>
        <w:rPr>
          <w:rFonts w:ascii="Times New Roman" w:hAnsi="Times New Roman" w:cs="Times New Roman"/>
        </w:rPr>
      </w:pPr>
    </w:p>
    <w:p w14:paraId="12D3E5FC" w14:textId="368D158D"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The major scheduling decisions include determining which compatible machine should process each job, when the job should start and finish, whether the job can be shifted within its permitted priority-based time window, and whether an energy-efficient machine can be selected without violating production constraints. The system assigns different maximum shifting limits according to job priority, with high-priority jobs receiving no shifting, medium-priority jobs allowing up to 1.5 hours of shifting, and low-priority jobs allowing up to 2 hours of shifting.</w:t>
      </w:r>
    </w:p>
    <w:p w14:paraId="662ABA3A"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scheduling framework must satisfy several constraints. A job cannot start before its arrival time and must be assigned to exactly one compatible machine. Jobs assigned to the same machine cannot overlap, and sequence-dependent changeover times must be incorporated between consecutive operations. Processing durations must be maintained, while priority-based shifting limits restrict how far jobs can be moved from their arrival times. The framework also incorporates a soft peak-grid-load guard targeting a peak power draw of </w:t>
      </w:r>
      <w:r w:rsidRPr="00A53AB4">
        <w:rPr>
          <w:rFonts w:ascii="Times New Roman" w:hAnsi="Times New Roman" w:cs="Times New Roman"/>
          <w:b/>
          <w:bCs/>
        </w:rPr>
        <w:t>420 kW</w:t>
      </w:r>
      <w:r w:rsidRPr="00A53AB4">
        <w:rPr>
          <w:rFonts w:ascii="Times New Roman" w:hAnsi="Times New Roman" w:cs="Times New Roman"/>
        </w:rPr>
        <w:t>.</w:t>
      </w:r>
    </w:p>
    <w:p w14:paraId="1037406E"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problem is therefore formulated as an </w:t>
      </w:r>
      <w:r w:rsidRPr="00A53AB4">
        <w:rPr>
          <w:rFonts w:ascii="Times New Roman" w:hAnsi="Times New Roman" w:cs="Times New Roman"/>
          <w:b/>
          <w:bCs/>
        </w:rPr>
        <w:t>energy-aware multi-objective manufacturing scheduling problem</w:t>
      </w:r>
      <w:r w:rsidRPr="00A53AB4">
        <w:rPr>
          <w:rFonts w:ascii="Times New Roman" w:hAnsi="Times New Roman" w:cs="Times New Roman"/>
        </w:rPr>
        <w:t xml:space="preserve"> rather than a conventional </w:t>
      </w:r>
      <w:proofErr w:type="spellStart"/>
      <w:r w:rsidRPr="00A53AB4">
        <w:rPr>
          <w:rFonts w:ascii="Times New Roman" w:hAnsi="Times New Roman" w:cs="Times New Roman"/>
        </w:rPr>
        <w:t>makespan</w:t>
      </w:r>
      <w:proofErr w:type="spellEnd"/>
      <w:r w:rsidRPr="00A53AB4">
        <w:rPr>
          <w:rFonts w:ascii="Times New Roman" w:hAnsi="Times New Roman" w:cs="Times New Roman"/>
        </w:rPr>
        <w:t>-minimization problem. The framework seeks to balance energy cost, peak grid load, production timing, waiting time, machine utilization, deadline compliance, and carbon emissions. Schedule quality is evaluated using a comprehensive set of operational, energy, service-level, and environmental KPIs, allowing the proposed forecast-driven and optimization-based approaches to be compared against conventional scheduling baselines.</w:t>
      </w:r>
    </w:p>
    <w:p w14:paraId="426F16E0" w14:textId="77777777" w:rsidR="00A536F7" w:rsidRPr="00A53AB4" w:rsidRDefault="00A536F7" w:rsidP="00A53AB4">
      <w:pPr>
        <w:spacing w:line="360" w:lineRule="auto"/>
        <w:jc w:val="both"/>
        <w:rPr>
          <w:rFonts w:ascii="Times New Roman" w:hAnsi="Times New Roman" w:cs="Times New Roman"/>
        </w:rPr>
      </w:pPr>
    </w:p>
    <w:p w14:paraId="00D4AC97" w14:textId="77777777" w:rsidR="00552A87" w:rsidRPr="00A53AB4" w:rsidRDefault="00552A87" w:rsidP="00A53AB4">
      <w:pPr>
        <w:spacing w:line="360" w:lineRule="auto"/>
        <w:jc w:val="both"/>
        <w:rPr>
          <w:rFonts w:ascii="Times New Roman" w:hAnsi="Times New Roman" w:cs="Times New Roman"/>
          <w:b/>
          <w:bCs/>
          <w:sz w:val="28"/>
          <w:szCs w:val="28"/>
        </w:rPr>
      </w:pPr>
    </w:p>
    <w:p w14:paraId="3363DE4B" w14:textId="77777777" w:rsidR="00552A87" w:rsidRPr="00A53AB4" w:rsidRDefault="00552A87" w:rsidP="00A53AB4">
      <w:pPr>
        <w:spacing w:line="360" w:lineRule="auto"/>
        <w:jc w:val="both"/>
        <w:rPr>
          <w:rFonts w:ascii="Times New Roman" w:hAnsi="Times New Roman" w:cs="Times New Roman"/>
          <w:b/>
          <w:bCs/>
          <w:sz w:val="28"/>
          <w:szCs w:val="28"/>
        </w:rPr>
      </w:pPr>
    </w:p>
    <w:p w14:paraId="3CF701C0" w14:textId="77777777" w:rsidR="00552A87" w:rsidRPr="00A53AB4" w:rsidRDefault="00552A87" w:rsidP="00A53AB4">
      <w:pPr>
        <w:spacing w:line="360" w:lineRule="auto"/>
        <w:jc w:val="both"/>
        <w:rPr>
          <w:rFonts w:ascii="Times New Roman" w:hAnsi="Times New Roman" w:cs="Times New Roman"/>
          <w:b/>
          <w:bCs/>
          <w:sz w:val="28"/>
          <w:szCs w:val="28"/>
        </w:rPr>
      </w:pPr>
    </w:p>
    <w:p w14:paraId="1EFF04BD" w14:textId="77777777" w:rsidR="00552A87" w:rsidRPr="00A53AB4" w:rsidRDefault="00552A87" w:rsidP="00A53AB4">
      <w:pPr>
        <w:spacing w:line="360" w:lineRule="auto"/>
        <w:jc w:val="both"/>
        <w:rPr>
          <w:rFonts w:ascii="Times New Roman" w:hAnsi="Times New Roman" w:cs="Times New Roman"/>
          <w:b/>
          <w:bCs/>
          <w:sz w:val="28"/>
          <w:szCs w:val="28"/>
        </w:rPr>
      </w:pPr>
    </w:p>
    <w:p w14:paraId="0138EBD3" w14:textId="38657FD5" w:rsidR="00D066A2" w:rsidRPr="00A53AB4" w:rsidRDefault="00D066A2" w:rsidP="00A53AB4">
      <w:pPr>
        <w:spacing w:line="360" w:lineRule="auto"/>
        <w:jc w:val="both"/>
        <w:rPr>
          <w:rFonts w:ascii="Times New Roman" w:hAnsi="Times New Roman" w:cs="Times New Roman"/>
          <w:b/>
          <w:bCs/>
          <w:sz w:val="28"/>
          <w:szCs w:val="28"/>
        </w:rPr>
      </w:pPr>
      <w:r w:rsidRPr="00A53AB4">
        <w:rPr>
          <w:rFonts w:ascii="Times New Roman" w:hAnsi="Times New Roman" w:cs="Times New Roman"/>
          <w:b/>
          <w:bCs/>
          <w:sz w:val="28"/>
          <w:szCs w:val="28"/>
        </w:rPr>
        <w:lastRenderedPageBreak/>
        <w:t>3. DATA SET DESCRIPTION &amp; PREPROCESSING</w:t>
      </w:r>
    </w:p>
    <w:p w14:paraId="7FBB9E9E" w14:textId="77777777"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3.1 Data Set Description</w:t>
      </w:r>
    </w:p>
    <w:p w14:paraId="5BC1109A"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The project uses two complementary datasets to support the forecasting and scheduling components. The first is an industrial energy dataset used for training and evaluating the energy forecasting models, while the second is a synthetic manufacturing benchmark used to evaluate the scheduling algorithms. This separation is necessary because the industrial SCADA dataset contains energy-related measurements but does not provide job-level manufacturing information such as processing duration, machine assignment, priority, and deadlines.</w:t>
      </w:r>
    </w:p>
    <w:p w14:paraId="18A6DD68"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industrial energy dataset, </w:t>
      </w:r>
      <w:r w:rsidRPr="00A53AB4">
        <w:rPr>
          <w:rFonts w:ascii="Times New Roman" w:hAnsi="Times New Roman" w:cs="Times New Roman"/>
          <w:b/>
          <w:bCs/>
        </w:rPr>
        <w:t>Steel_industry_data.csv</w:t>
      </w:r>
      <w:r w:rsidRPr="00A53AB4">
        <w:rPr>
          <w:rFonts w:ascii="Times New Roman" w:hAnsi="Times New Roman" w:cs="Times New Roman"/>
        </w:rPr>
        <w:t xml:space="preserve">, contains </w:t>
      </w:r>
      <w:r w:rsidRPr="00A53AB4">
        <w:rPr>
          <w:rFonts w:ascii="Times New Roman" w:hAnsi="Times New Roman" w:cs="Times New Roman"/>
          <w:b/>
          <w:bCs/>
        </w:rPr>
        <w:t>35,040 observations</w:t>
      </w:r>
      <w:r w:rsidRPr="00A53AB4">
        <w:rPr>
          <w:rFonts w:ascii="Times New Roman" w:hAnsi="Times New Roman" w:cs="Times New Roman"/>
        </w:rPr>
        <w:t xml:space="preserve"> collected at 15-minute intervals during 2018. The dataset includes timestamp information, active energy consumption, reactive power measurements, carbon-related values, power factor, Number of Seconds from Midnight (NSM), weekday/weekend status, day of the week, and load type. These variables provide temporal, electrical, and operational information required for forecasting future energy conditions.</w:t>
      </w:r>
    </w:p>
    <w:p w14:paraId="5488A31D"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synthetic manufacturing benchmark is generated specifically for scheduling evaluation. The default benchmark contains </w:t>
      </w:r>
      <w:r w:rsidRPr="00A53AB4">
        <w:rPr>
          <w:rFonts w:ascii="Times New Roman" w:hAnsi="Times New Roman" w:cs="Times New Roman"/>
          <w:b/>
          <w:bCs/>
        </w:rPr>
        <w:t>180 jobs</w:t>
      </w:r>
      <w:r w:rsidRPr="00A53AB4">
        <w:rPr>
          <w:rFonts w:ascii="Times New Roman" w:hAnsi="Times New Roman" w:cs="Times New Roman"/>
        </w:rPr>
        <w:t xml:space="preserve"> and </w:t>
      </w:r>
      <w:r w:rsidRPr="00A53AB4">
        <w:rPr>
          <w:rFonts w:ascii="Times New Roman" w:hAnsi="Times New Roman" w:cs="Times New Roman"/>
          <w:b/>
          <w:bCs/>
        </w:rPr>
        <w:t>8 heterogeneous machines</w:t>
      </w:r>
      <w:r w:rsidRPr="00A53AB4">
        <w:rPr>
          <w:rFonts w:ascii="Times New Roman" w:hAnsi="Times New Roman" w:cs="Times New Roman"/>
        </w:rPr>
        <w:t xml:space="preserve">, with job durations ranging from 15 to 150 minutes and an average duration of approximately 62.75 minutes. Jobs are assigned different priority levels and have individual arrival times, deadlines, compatible machines, and setup types. The benchmark is generated across </w:t>
      </w:r>
      <w:r w:rsidRPr="00A53AB4">
        <w:rPr>
          <w:rFonts w:ascii="Times New Roman" w:hAnsi="Times New Roman" w:cs="Times New Roman"/>
          <w:b/>
          <w:bCs/>
        </w:rPr>
        <w:t>20 independent seeds from 42 to 61</w:t>
      </w:r>
      <w:r w:rsidRPr="00A53AB4">
        <w:rPr>
          <w:rFonts w:ascii="Times New Roman" w:hAnsi="Times New Roman" w:cs="Times New Roman"/>
        </w:rPr>
        <w:t xml:space="preserve"> to provide a more reliable evaluation of scheduling performance.</w:t>
      </w:r>
    </w:p>
    <w:p w14:paraId="16DD0319" w14:textId="77777777" w:rsidR="00A53AB4" w:rsidRDefault="00A53AB4" w:rsidP="00A53AB4">
      <w:pPr>
        <w:spacing w:line="360" w:lineRule="auto"/>
        <w:jc w:val="both"/>
        <w:rPr>
          <w:rFonts w:ascii="Times New Roman" w:hAnsi="Times New Roman" w:cs="Times New Roman"/>
          <w:b/>
          <w:bCs/>
        </w:rPr>
      </w:pPr>
    </w:p>
    <w:p w14:paraId="18E6828E" w14:textId="636E3B12"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3.2 Manufacturing Jobs and Machine Environment</w:t>
      </w:r>
    </w:p>
    <w:p w14:paraId="5E2B2E18"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synthetic manufacturing environment represents eight heterogeneous industrial machines: CNC Machining, Laser Cutting, Welding Robot, Heat Treatment, Stamping Press, Assembly Line, Injection Moulding, and Surface Grinding. The machines have different active power requirements, with active power ranging from </w:t>
      </w:r>
      <w:r w:rsidRPr="00A53AB4">
        <w:rPr>
          <w:rFonts w:ascii="Times New Roman" w:hAnsi="Times New Roman" w:cs="Times New Roman"/>
          <w:b/>
          <w:bCs/>
        </w:rPr>
        <w:t>35.0 kW to 175.0 kW</w:t>
      </w:r>
      <w:r w:rsidRPr="00A53AB4">
        <w:rPr>
          <w:rFonts w:ascii="Times New Roman" w:hAnsi="Times New Roman" w:cs="Times New Roman"/>
        </w:rPr>
        <w:t>, as well as different setup-energy characteristics. This heterogeneity allows the scheduling system to consider both machine compatibility and energy consumption when selecting machines for individual jobs.</w:t>
      </w:r>
    </w:p>
    <w:p w14:paraId="39942483"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Each manufacturing job contains information required for scheduling, including arrival time, processing duration, deadline, priority level, compatible machine subset, and setup type. Jobs </w:t>
      </w:r>
      <w:r w:rsidRPr="00A53AB4">
        <w:rPr>
          <w:rFonts w:ascii="Times New Roman" w:hAnsi="Times New Roman" w:cs="Times New Roman"/>
        </w:rPr>
        <w:lastRenderedPageBreak/>
        <w:t xml:space="preserve">have a priority distribution of approximately </w:t>
      </w:r>
      <w:r w:rsidRPr="00A53AB4">
        <w:rPr>
          <w:rFonts w:ascii="Times New Roman" w:hAnsi="Times New Roman" w:cs="Times New Roman"/>
          <w:b/>
          <w:bCs/>
        </w:rPr>
        <w:t>20% High, 55% Medium, and 25% Low</w:t>
      </w:r>
      <w:r w:rsidRPr="00A53AB4">
        <w:rPr>
          <w:rFonts w:ascii="Times New Roman" w:hAnsi="Times New Roman" w:cs="Times New Roman"/>
        </w:rPr>
        <w:t xml:space="preserve">. The benchmark also uses a peak-biased arrival distribution, with approximately </w:t>
      </w:r>
      <w:r w:rsidRPr="00A53AB4">
        <w:rPr>
          <w:rFonts w:ascii="Times New Roman" w:hAnsi="Times New Roman" w:cs="Times New Roman"/>
          <w:b/>
          <w:bCs/>
        </w:rPr>
        <w:t>70–80% of job arrivals occurring during Maximum-Load tariff hours</w:t>
      </w:r>
      <w:r w:rsidRPr="00A53AB4">
        <w:rPr>
          <w:rFonts w:ascii="Times New Roman" w:hAnsi="Times New Roman" w:cs="Times New Roman"/>
        </w:rPr>
        <w:t>, creating a challenging environment for evaluating tariff-aware scheduling and workload shifting.</w:t>
      </w:r>
    </w:p>
    <w:p w14:paraId="03498E9C"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Each job is compatible with between two and five machines, and approximately 60% of jobs have access to at least one energy-efficient machine. This allows the scheduling algorithms to evaluate the trade-off between machine availability, production requirements, and energy consumption when assigning jobs.</w:t>
      </w:r>
    </w:p>
    <w:p w14:paraId="3FA023C6" w14:textId="77777777" w:rsidR="00A53AB4" w:rsidRDefault="00A53AB4" w:rsidP="00A53AB4">
      <w:pPr>
        <w:spacing w:line="360" w:lineRule="auto"/>
        <w:jc w:val="both"/>
        <w:rPr>
          <w:rFonts w:ascii="Times New Roman" w:hAnsi="Times New Roman" w:cs="Times New Roman"/>
          <w:b/>
          <w:bCs/>
        </w:rPr>
      </w:pPr>
    </w:p>
    <w:p w14:paraId="37F0A20E" w14:textId="37CC9C97"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3.3 Preprocessing and Feature Engineering</w:t>
      </w:r>
    </w:p>
    <w:p w14:paraId="2585D373"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Preprocessing is applied to the industrial SCADA data before model training. The preprocessing pipeline removes duplicate observations, converts timestamps into a standard datetime representation, handles missing values using forward-fill followed by backward-fill, and converts required numerical and categorical fields into suitable modelling formats. The power factor variable is also rescaled from its original 0–100% representation to decimal space between 0 and 1 during training.</w:t>
      </w:r>
    </w:p>
    <w:p w14:paraId="1A0D9D86"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After data cleaning, temporal and statistical features are generated to capture patterns in industrial energy consumption. The pipeline extracts temporal information such as hour, day, and day-of-week characteristics and applies cyclical encoding to represent repeating time relationships. Lag features are generated at </w:t>
      </w:r>
      <w:r w:rsidRPr="00A53AB4">
        <w:rPr>
          <w:rFonts w:ascii="Times New Roman" w:hAnsi="Times New Roman" w:cs="Times New Roman"/>
          <w:b/>
          <w:bCs/>
        </w:rPr>
        <w:t>t−1, t−2, t−4, and t−96</w:t>
      </w:r>
      <w:r w:rsidRPr="00A53AB4">
        <w:rPr>
          <w:rFonts w:ascii="Times New Roman" w:hAnsi="Times New Roman" w:cs="Times New Roman"/>
        </w:rPr>
        <w:t>, corresponding to previous 15-minute, 30-minute, 1-hour, and previous-day observations. Rolling statistics are calculated using 4-slot and 96-slot windows to capture short-term and daily consumption behaviour.</w:t>
      </w:r>
    </w:p>
    <w:p w14:paraId="1E452163" w14:textId="77777777" w:rsidR="005643CC" w:rsidRDefault="005643CC" w:rsidP="00A53AB4">
      <w:pPr>
        <w:spacing w:line="360" w:lineRule="auto"/>
        <w:jc w:val="both"/>
        <w:rPr>
          <w:rFonts w:ascii="Times New Roman" w:hAnsi="Times New Roman" w:cs="Times New Roman"/>
        </w:rPr>
      </w:pPr>
    </w:p>
    <w:p w14:paraId="1760E0BE" w14:textId="1F51C025"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The main preprocessing and feature-engineering methods are summarized below:</w:t>
      </w:r>
    </w:p>
    <w:tbl>
      <w:tblPr>
        <w:tblStyle w:val="PlainTable1"/>
        <w:tblW w:w="0" w:type="auto"/>
        <w:tblLook w:val="04A0" w:firstRow="1" w:lastRow="0" w:firstColumn="1" w:lastColumn="0" w:noHBand="0" w:noVBand="1"/>
      </w:tblPr>
      <w:tblGrid>
        <w:gridCol w:w="3132"/>
        <w:gridCol w:w="5884"/>
      </w:tblGrid>
      <w:tr w:rsidR="00D066A2" w:rsidRPr="00A53AB4" w14:paraId="6071BBA1" w14:textId="77777777" w:rsidTr="00D06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AA24D"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Preprocessing / Feature Method</w:t>
            </w:r>
          </w:p>
        </w:tc>
        <w:tc>
          <w:tcPr>
            <w:tcW w:w="0" w:type="auto"/>
            <w:hideMark/>
          </w:tcPr>
          <w:p w14:paraId="1951568A" w14:textId="77777777" w:rsidR="00D066A2" w:rsidRPr="00A53AB4" w:rsidRDefault="00D066A2"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Purpose</w:t>
            </w:r>
          </w:p>
        </w:tc>
      </w:tr>
      <w:tr w:rsidR="00D066A2" w:rsidRPr="00A53AB4" w14:paraId="2C28657C"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804FB"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Duplicate Removal</w:t>
            </w:r>
          </w:p>
        </w:tc>
        <w:tc>
          <w:tcPr>
            <w:tcW w:w="0" w:type="auto"/>
            <w:hideMark/>
          </w:tcPr>
          <w:p w14:paraId="2E23BD78"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Removes repeated observations</w:t>
            </w:r>
          </w:p>
        </w:tc>
      </w:tr>
      <w:tr w:rsidR="00D066A2" w:rsidRPr="00A53AB4" w14:paraId="74F7183E"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24CA0510"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Datetime Conversion</w:t>
            </w:r>
          </w:p>
        </w:tc>
        <w:tc>
          <w:tcPr>
            <w:tcW w:w="0" w:type="auto"/>
            <w:hideMark/>
          </w:tcPr>
          <w:p w14:paraId="7531076F"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Converts timestamps and enables temporal feature extraction</w:t>
            </w:r>
          </w:p>
        </w:tc>
      </w:tr>
      <w:tr w:rsidR="00D066A2" w:rsidRPr="00A53AB4" w14:paraId="5A77E769"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A0A85"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Missing-Value Handling</w:t>
            </w:r>
          </w:p>
        </w:tc>
        <w:tc>
          <w:tcPr>
            <w:tcW w:w="0" w:type="auto"/>
            <w:hideMark/>
          </w:tcPr>
          <w:p w14:paraId="6D225DDD"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Handles missing observations using forward-fill and backward-fill</w:t>
            </w:r>
          </w:p>
        </w:tc>
      </w:tr>
      <w:tr w:rsidR="00D066A2" w:rsidRPr="00A53AB4" w14:paraId="48A5EC9F"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44F5985C"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Numerical Conversion</w:t>
            </w:r>
          </w:p>
        </w:tc>
        <w:tc>
          <w:tcPr>
            <w:tcW w:w="0" w:type="auto"/>
            <w:hideMark/>
          </w:tcPr>
          <w:p w14:paraId="1CE2ECDF"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Converts required measurements into valid numerical values</w:t>
            </w:r>
          </w:p>
        </w:tc>
      </w:tr>
      <w:tr w:rsidR="00D066A2" w:rsidRPr="00A53AB4" w14:paraId="6346F91C"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35FCA"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Categorical Encoding</w:t>
            </w:r>
          </w:p>
        </w:tc>
        <w:tc>
          <w:tcPr>
            <w:tcW w:w="0" w:type="auto"/>
            <w:hideMark/>
          </w:tcPr>
          <w:p w14:paraId="052E7B90"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Represents </w:t>
            </w:r>
            <w:proofErr w:type="spellStart"/>
            <w:r w:rsidRPr="00A53AB4">
              <w:rPr>
                <w:rFonts w:ascii="Times New Roman" w:hAnsi="Times New Roman" w:cs="Times New Roman"/>
              </w:rPr>
              <w:t>WeekStatus</w:t>
            </w:r>
            <w:proofErr w:type="spellEnd"/>
            <w:r w:rsidRPr="00A53AB4">
              <w:rPr>
                <w:rFonts w:ascii="Times New Roman" w:hAnsi="Times New Roman" w:cs="Times New Roman"/>
              </w:rPr>
              <w:t xml:space="preserve">, </w:t>
            </w:r>
            <w:proofErr w:type="spellStart"/>
            <w:r w:rsidRPr="00A53AB4">
              <w:rPr>
                <w:rFonts w:ascii="Times New Roman" w:hAnsi="Times New Roman" w:cs="Times New Roman"/>
              </w:rPr>
              <w:t>Day_of_week</w:t>
            </w:r>
            <w:proofErr w:type="spellEnd"/>
            <w:r w:rsidRPr="00A53AB4">
              <w:rPr>
                <w:rFonts w:ascii="Times New Roman" w:hAnsi="Times New Roman" w:cs="Times New Roman"/>
              </w:rPr>
              <w:t xml:space="preserve">, and </w:t>
            </w:r>
            <w:proofErr w:type="spellStart"/>
            <w:r w:rsidRPr="00A53AB4">
              <w:rPr>
                <w:rFonts w:ascii="Times New Roman" w:hAnsi="Times New Roman" w:cs="Times New Roman"/>
              </w:rPr>
              <w:t>Load_Type</w:t>
            </w:r>
            <w:proofErr w:type="spellEnd"/>
            <w:r w:rsidRPr="00A53AB4">
              <w:rPr>
                <w:rFonts w:ascii="Times New Roman" w:hAnsi="Times New Roman" w:cs="Times New Roman"/>
              </w:rPr>
              <w:t xml:space="preserve"> for modelling</w:t>
            </w:r>
          </w:p>
        </w:tc>
      </w:tr>
      <w:tr w:rsidR="00D066A2" w:rsidRPr="00A53AB4" w14:paraId="7E1993D4"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34CF910C"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Power Factor Rescaling</w:t>
            </w:r>
          </w:p>
        </w:tc>
        <w:tc>
          <w:tcPr>
            <w:tcW w:w="0" w:type="auto"/>
            <w:hideMark/>
          </w:tcPr>
          <w:p w14:paraId="19FC4617"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Converts power factor from percentage scale to decimal scale</w:t>
            </w:r>
          </w:p>
        </w:tc>
      </w:tr>
      <w:tr w:rsidR="00D066A2" w:rsidRPr="00A53AB4" w14:paraId="1CC04681"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9240D"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Temporal Features</w:t>
            </w:r>
          </w:p>
        </w:tc>
        <w:tc>
          <w:tcPr>
            <w:tcW w:w="0" w:type="auto"/>
            <w:hideMark/>
          </w:tcPr>
          <w:p w14:paraId="2EF8E043"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Captures hour, day, weekday, and related time characteristics</w:t>
            </w:r>
          </w:p>
        </w:tc>
      </w:tr>
      <w:tr w:rsidR="00D066A2" w:rsidRPr="00A53AB4" w14:paraId="5B5A36C8"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175D8660"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Cyclical Encoding</w:t>
            </w:r>
          </w:p>
        </w:tc>
        <w:tc>
          <w:tcPr>
            <w:tcW w:w="0" w:type="auto"/>
            <w:hideMark/>
          </w:tcPr>
          <w:p w14:paraId="79F8DD99"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Represents circular time relationships</w:t>
            </w:r>
          </w:p>
        </w:tc>
      </w:tr>
      <w:tr w:rsidR="00D066A2" w:rsidRPr="00A53AB4" w14:paraId="1BAEBF6B" w14:textId="77777777" w:rsidTr="00D066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48EC5"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Lag Features</w:t>
            </w:r>
          </w:p>
        </w:tc>
        <w:tc>
          <w:tcPr>
            <w:tcW w:w="0" w:type="auto"/>
            <w:hideMark/>
          </w:tcPr>
          <w:p w14:paraId="7715D58F" w14:textId="77777777" w:rsidR="00D066A2" w:rsidRPr="00A53AB4" w:rsidRDefault="00D066A2"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Captures historical energy-consumption behaviour</w:t>
            </w:r>
          </w:p>
        </w:tc>
      </w:tr>
      <w:tr w:rsidR="00D066A2" w:rsidRPr="00A53AB4" w14:paraId="3D3F5EAC" w14:textId="77777777" w:rsidTr="00D066A2">
        <w:tc>
          <w:tcPr>
            <w:cnfStyle w:val="001000000000" w:firstRow="0" w:lastRow="0" w:firstColumn="1" w:lastColumn="0" w:oddVBand="0" w:evenVBand="0" w:oddHBand="0" w:evenHBand="0" w:firstRowFirstColumn="0" w:firstRowLastColumn="0" w:lastRowFirstColumn="0" w:lastRowLastColumn="0"/>
            <w:tcW w:w="0" w:type="auto"/>
            <w:hideMark/>
          </w:tcPr>
          <w:p w14:paraId="19F23813" w14:textId="77777777" w:rsidR="00D066A2" w:rsidRPr="00A53AB4" w:rsidRDefault="00D066A2" w:rsidP="00A53AB4">
            <w:pPr>
              <w:spacing w:after="160" w:line="360" w:lineRule="auto"/>
              <w:jc w:val="both"/>
              <w:rPr>
                <w:rFonts w:ascii="Times New Roman" w:hAnsi="Times New Roman" w:cs="Times New Roman"/>
              </w:rPr>
            </w:pPr>
            <w:r w:rsidRPr="00A53AB4">
              <w:rPr>
                <w:rFonts w:ascii="Times New Roman" w:hAnsi="Times New Roman" w:cs="Times New Roman"/>
              </w:rPr>
              <w:t>Rolling Statistics</w:t>
            </w:r>
          </w:p>
        </w:tc>
        <w:tc>
          <w:tcPr>
            <w:tcW w:w="0" w:type="auto"/>
            <w:hideMark/>
          </w:tcPr>
          <w:p w14:paraId="7C5E0053" w14:textId="77777777" w:rsidR="00D066A2" w:rsidRPr="00A53AB4" w:rsidRDefault="00D066A2"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Captures short-term and daily trends</w:t>
            </w:r>
          </w:p>
        </w:tc>
      </w:tr>
    </w:tbl>
    <w:p w14:paraId="6828091D" w14:textId="77777777" w:rsidR="00D066A2" w:rsidRPr="00A53AB4" w:rsidRDefault="00D066A2" w:rsidP="00A53AB4">
      <w:pPr>
        <w:spacing w:line="360" w:lineRule="auto"/>
        <w:jc w:val="both"/>
        <w:rPr>
          <w:rFonts w:ascii="Times New Roman" w:hAnsi="Times New Roman" w:cs="Times New Roman"/>
          <w:b/>
          <w:bCs/>
        </w:rPr>
      </w:pPr>
    </w:p>
    <w:p w14:paraId="431FC354" w14:textId="6EE87D9E"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3.4 Synthetic Benchmark and Scheduling Horizon</w:t>
      </w:r>
    </w:p>
    <w:p w14:paraId="34953500"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scheduling benchmark uses a </w:t>
      </w:r>
      <w:r w:rsidRPr="00A53AB4">
        <w:rPr>
          <w:rFonts w:ascii="Times New Roman" w:hAnsi="Times New Roman" w:cs="Times New Roman"/>
          <w:b/>
          <w:bCs/>
        </w:rPr>
        <w:t>48-hour planning horizon</w:t>
      </w:r>
      <w:r w:rsidRPr="00A53AB4">
        <w:rPr>
          <w:rFonts w:ascii="Times New Roman" w:hAnsi="Times New Roman" w:cs="Times New Roman"/>
        </w:rPr>
        <w:t xml:space="preserve"> divided into </w:t>
      </w:r>
      <w:r w:rsidRPr="00A53AB4">
        <w:rPr>
          <w:rFonts w:ascii="Times New Roman" w:hAnsi="Times New Roman" w:cs="Times New Roman"/>
          <w:b/>
          <w:bCs/>
        </w:rPr>
        <w:t>192 fifteen-minute scheduling intervals</w:t>
      </w:r>
      <w:r w:rsidRPr="00A53AB4">
        <w:rPr>
          <w:rFonts w:ascii="Times New Roman" w:hAnsi="Times New Roman" w:cs="Times New Roman"/>
        </w:rPr>
        <w:t>. Each generated instance contains 160–200 jobs, with 180 jobs used as the default configuration, and eight heterogeneous machines. The benchmark is deliberately designed with peak-biased job arrivals so that a substantial proportion of operations initially occur during the Maximum-Load tariff period. This provides an appropriate test environment for evaluating the ability of energy-aware scheduling methods to shift flexible operations toward lower-cost periods.</w:t>
      </w:r>
    </w:p>
    <w:p w14:paraId="5B1EFF6A"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The benchmark also incorporates machine compatibility and energy-efficiency differences. Jobs have access to multiple compatible machines, while approximately 60% have access to at least one machine from the lowest active-power tier. Priority-based shifting limits are used to control how far jobs can be moved from their arrival times. High-priority jobs have no permitted shift, medium-priority jobs can be shifted by up to 6 slots or 1.5 hours, and low-priority jobs can be shifted by up to 8 slots or 2 hours. These conditions allow the scheduling </w:t>
      </w:r>
      <w:r w:rsidRPr="00A53AB4">
        <w:rPr>
          <w:rFonts w:ascii="Times New Roman" w:hAnsi="Times New Roman" w:cs="Times New Roman"/>
        </w:rPr>
        <w:lastRenderedPageBreak/>
        <w:t>framework to evaluate energy savings without disregarding production priorities and deadline requirements.</w:t>
      </w:r>
    </w:p>
    <w:p w14:paraId="133836E6" w14:textId="77777777" w:rsidR="00A53AB4" w:rsidRDefault="00A53AB4" w:rsidP="00A53AB4">
      <w:pPr>
        <w:spacing w:line="360" w:lineRule="auto"/>
        <w:jc w:val="both"/>
        <w:rPr>
          <w:rFonts w:ascii="Times New Roman" w:hAnsi="Times New Roman" w:cs="Times New Roman"/>
          <w:b/>
          <w:bCs/>
        </w:rPr>
      </w:pPr>
    </w:p>
    <w:p w14:paraId="4F396B1C" w14:textId="7D893160" w:rsidR="00D066A2" w:rsidRPr="00A53AB4" w:rsidRDefault="00D066A2" w:rsidP="00A53AB4">
      <w:pPr>
        <w:spacing w:line="360" w:lineRule="auto"/>
        <w:jc w:val="both"/>
        <w:rPr>
          <w:rFonts w:ascii="Times New Roman" w:hAnsi="Times New Roman" w:cs="Times New Roman"/>
          <w:b/>
          <w:bCs/>
        </w:rPr>
      </w:pPr>
      <w:r w:rsidRPr="00A53AB4">
        <w:rPr>
          <w:rFonts w:ascii="Times New Roman" w:hAnsi="Times New Roman" w:cs="Times New Roman"/>
          <w:b/>
          <w:bCs/>
        </w:rPr>
        <w:t>3.5 Training, Testing and Preprocessing Outcome</w:t>
      </w:r>
    </w:p>
    <w:p w14:paraId="68CEF6B3"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 xml:space="preserve">Following preprocessing and feature engineering, the industrial energy dataset is divided using a </w:t>
      </w:r>
      <w:r w:rsidRPr="00A53AB4">
        <w:rPr>
          <w:rFonts w:ascii="Times New Roman" w:hAnsi="Times New Roman" w:cs="Times New Roman"/>
          <w:b/>
          <w:bCs/>
        </w:rPr>
        <w:t>chronological 80% training and 20% testing split</w:t>
      </w:r>
      <w:r w:rsidRPr="00A53AB4">
        <w:rPr>
          <w:rFonts w:ascii="Times New Roman" w:hAnsi="Times New Roman" w:cs="Times New Roman"/>
        </w:rPr>
        <w:t>. Maintaining chronological order prevents future observations from being used to train the model before they occur and provides a more realistic evaluation of forecasting performance. The resulting forecasting-ready dataset contains cleaned timestamp and measurement data together with temporal features, lag variables, rolling statistics, cyclical representations, categorical information, and appropriately scaled power-factor values.</w:t>
      </w:r>
    </w:p>
    <w:p w14:paraId="66DB0F96" w14:textId="77777777" w:rsidR="00D066A2" w:rsidRPr="00A53AB4" w:rsidRDefault="00D066A2" w:rsidP="00A53AB4">
      <w:pPr>
        <w:spacing w:line="360" w:lineRule="auto"/>
        <w:jc w:val="both"/>
        <w:rPr>
          <w:rFonts w:ascii="Times New Roman" w:hAnsi="Times New Roman" w:cs="Times New Roman"/>
        </w:rPr>
      </w:pPr>
      <w:r w:rsidRPr="00A53AB4">
        <w:rPr>
          <w:rFonts w:ascii="Times New Roman" w:hAnsi="Times New Roman" w:cs="Times New Roman"/>
        </w:rPr>
        <w:t>The complete data preparation process therefore establishes two inputs for the proposed framework: the processed industrial SCADA dataset for multi-quantile energy forecasting and the synthetic manufacturing benchmark for scheduling evaluation. These datasets are subsequently connected through the Predict-then-Optimize framework, where forecasted energy conditions are supplied to the scheduling and optimization components.</w:t>
      </w:r>
    </w:p>
    <w:p w14:paraId="3DFA0C7A" w14:textId="77777777" w:rsidR="00DB4454" w:rsidRPr="00A53AB4" w:rsidRDefault="00DB4454" w:rsidP="00A53AB4">
      <w:pPr>
        <w:spacing w:line="360" w:lineRule="auto"/>
        <w:jc w:val="both"/>
        <w:rPr>
          <w:rFonts w:ascii="Times New Roman" w:hAnsi="Times New Roman" w:cs="Times New Roman"/>
          <w:sz w:val="28"/>
          <w:szCs w:val="28"/>
        </w:rPr>
      </w:pPr>
    </w:p>
    <w:p w14:paraId="27D035FD" w14:textId="77777777" w:rsidR="007D63F6" w:rsidRPr="00A53AB4" w:rsidRDefault="007D63F6" w:rsidP="00A53AB4">
      <w:pPr>
        <w:spacing w:line="360" w:lineRule="auto"/>
        <w:jc w:val="both"/>
        <w:rPr>
          <w:rFonts w:ascii="Times New Roman" w:hAnsi="Times New Roman" w:cs="Times New Roman"/>
          <w:b/>
          <w:bCs/>
          <w:sz w:val="28"/>
          <w:szCs w:val="28"/>
        </w:rPr>
      </w:pPr>
    </w:p>
    <w:p w14:paraId="0638F8B1" w14:textId="77777777" w:rsidR="007D63F6" w:rsidRPr="00A53AB4" w:rsidRDefault="007D63F6" w:rsidP="00A53AB4">
      <w:pPr>
        <w:spacing w:line="360" w:lineRule="auto"/>
        <w:jc w:val="both"/>
        <w:rPr>
          <w:rFonts w:ascii="Times New Roman" w:hAnsi="Times New Roman" w:cs="Times New Roman"/>
          <w:b/>
          <w:bCs/>
          <w:sz w:val="28"/>
          <w:szCs w:val="28"/>
        </w:rPr>
      </w:pPr>
    </w:p>
    <w:p w14:paraId="4251AC62" w14:textId="77777777" w:rsidR="007D63F6" w:rsidRPr="00A53AB4" w:rsidRDefault="007D63F6" w:rsidP="00A53AB4">
      <w:pPr>
        <w:spacing w:line="360" w:lineRule="auto"/>
        <w:jc w:val="both"/>
        <w:rPr>
          <w:rFonts w:ascii="Times New Roman" w:hAnsi="Times New Roman" w:cs="Times New Roman"/>
          <w:b/>
          <w:bCs/>
          <w:sz w:val="28"/>
          <w:szCs w:val="28"/>
        </w:rPr>
      </w:pPr>
    </w:p>
    <w:p w14:paraId="3B31E180" w14:textId="77777777" w:rsidR="007D63F6" w:rsidRPr="00A53AB4" w:rsidRDefault="007D63F6" w:rsidP="00A53AB4">
      <w:pPr>
        <w:spacing w:line="360" w:lineRule="auto"/>
        <w:jc w:val="both"/>
        <w:rPr>
          <w:rFonts w:ascii="Times New Roman" w:hAnsi="Times New Roman" w:cs="Times New Roman"/>
          <w:b/>
          <w:bCs/>
          <w:sz w:val="28"/>
          <w:szCs w:val="28"/>
        </w:rPr>
      </w:pPr>
    </w:p>
    <w:p w14:paraId="63BD6611" w14:textId="77777777" w:rsidR="007D63F6" w:rsidRPr="00A53AB4" w:rsidRDefault="007D63F6" w:rsidP="00A53AB4">
      <w:pPr>
        <w:spacing w:line="360" w:lineRule="auto"/>
        <w:jc w:val="both"/>
        <w:rPr>
          <w:rFonts w:ascii="Times New Roman" w:hAnsi="Times New Roman" w:cs="Times New Roman"/>
          <w:b/>
          <w:bCs/>
          <w:sz w:val="28"/>
          <w:szCs w:val="28"/>
        </w:rPr>
      </w:pPr>
    </w:p>
    <w:p w14:paraId="7B951807" w14:textId="77777777" w:rsidR="007D63F6" w:rsidRPr="00A53AB4" w:rsidRDefault="007D63F6" w:rsidP="00A53AB4">
      <w:pPr>
        <w:spacing w:line="360" w:lineRule="auto"/>
        <w:jc w:val="both"/>
        <w:rPr>
          <w:rFonts w:ascii="Times New Roman" w:hAnsi="Times New Roman" w:cs="Times New Roman"/>
          <w:b/>
          <w:bCs/>
          <w:sz w:val="28"/>
          <w:szCs w:val="28"/>
        </w:rPr>
      </w:pPr>
    </w:p>
    <w:p w14:paraId="09211623" w14:textId="77777777" w:rsidR="007D63F6" w:rsidRPr="00A53AB4" w:rsidRDefault="007D63F6" w:rsidP="00A53AB4">
      <w:pPr>
        <w:spacing w:line="360" w:lineRule="auto"/>
        <w:jc w:val="both"/>
        <w:rPr>
          <w:rFonts w:ascii="Times New Roman" w:hAnsi="Times New Roman" w:cs="Times New Roman"/>
          <w:b/>
          <w:bCs/>
          <w:sz w:val="28"/>
          <w:szCs w:val="28"/>
        </w:rPr>
      </w:pPr>
    </w:p>
    <w:p w14:paraId="1B110CBF" w14:textId="77777777" w:rsidR="007D63F6" w:rsidRPr="00A53AB4" w:rsidRDefault="007D63F6" w:rsidP="00A53AB4">
      <w:pPr>
        <w:spacing w:line="360" w:lineRule="auto"/>
        <w:jc w:val="both"/>
        <w:rPr>
          <w:rFonts w:ascii="Times New Roman" w:hAnsi="Times New Roman" w:cs="Times New Roman"/>
          <w:b/>
          <w:bCs/>
          <w:sz w:val="28"/>
          <w:szCs w:val="28"/>
        </w:rPr>
      </w:pPr>
    </w:p>
    <w:p w14:paraId="5E6A745E" w14:textId="77777777" w:rsidR="00A53AB4" w:rsidRDefault="00A53AB4" w:rsidP="00A53AB4">
      <w:pPr>
        <w:spacing w:line="360" w:lineRule="auto"/>
        <w:jc w:val="both"/>
        <w:rPr>
          <w:rFonts w:ascii="Times New Roman" w:hAnsi="Times New Roman" w:cs="Times New Roman"/>
          <w:b/>
          <w:bCs/>
          <w:sz w:val="28"/>
          <w:szCs w:val="28"/>
        </w:rPr>
      </w:pPr>
    </w:p>
    <w:p w14:paraId="4839A8D0" w14:textId="6E9ED551" w:rsidR="00552A87" w:rsidRPr="00A53AB4" w:rsidRDefault="00552A87" w:rsidP="00A53AB4">
      <w:pPr>
        <w:spacing w:line="360" w:lineRule="auto"/>
        <w:jc w:val="both"/>
        <w:rPr>
          <w:rFonts w:ascii="Times New Roman" w:hAnsi="Times New Roman" w:cs="Times New Roman"/>
          <w:b/>
          <w:bCs/>
          <w:sz w:val="28"/>
          <w:szCs w:val="28"/>
        </w:rPr>
      </w:pPr>
      <w:r w:rsidRPr="00A53AB4">
        <w:rPr>
          <w:rFonts w:ascii="Times New Roman" w:hAnsi="Times New Roman" w:cs="Times New Roman"/>
          <w:b/>
          <w:bCs/>
          <w:sz w:val="28"/>
          <w:szCs w:val="28"/>
        </w:rPr>
        <w:lastRenderedPageBreak/>
        <w:t>4. MODEL DEVELOPMENT &amp; METHODOLOGY</w:t>
      </w:r>
    </w:p>
    <w:p w14:paraId="670DFC51" w14:textId="77777777"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4.1 Overall Methodology</w:t>
      </w:r>
    </w:p>
    <w:p w14:paraId="1E959794"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proposed system follows a </w:t>
      </w:r>
      <w:r w:rsidRPr="00A53AB4">
        <w:rPr>
          <w:rFonts w:ascii="Times New Roman" w:hAnsi="Times New Roman" w:cs="Times New Roman"/>
          <w:b/>
          <w:bCs/>
        </w:rPr>
        <w:t>Predict-then-Optimize methodology</w:t>
      </w:r>
      <w:r w:rsidRPr="00A53AB4">
        <w:rPr>
          <w:rFonts w:ascii="Times New Roman" w:hAnsi="Times New Roman" w:cs="Times New Roman"/>
        </w:rPr>
        <w:t>, in which historical industrial energy data is first processed and used to forecast future energy, carbon, and power-factor conditions. The generated forecasts are then combined with electricity tariff information, manufacturing job characteristics, machine capabilities, and operational constraints to generate energy-aware production schedules.</w:t>
      </w:r>
    </w:p>
    <w:p w14:paraId="6BE4CEAC"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overall methodology consists of data preprocessing, feature engineering, multi-quantile </w:t>
      </w:r>
      <w:proofErr w:type="spellStart"/>
      <w:r w:rsidRPr="00A53AB4">
        <w:rPr>
          <w:rFonts w:ascii="Times New Roman" w:hAnsi="Times New Roman" w:cs="Times New Roman"/>
        </w:rPr>
        <w:t>XGBoost</w:t>
      </w:r>
      <w:proofErr w:type="spellEnd"/>
      <w:r w:rsidRPr="00A53AB4">
        <w:rPr>
          <w:rFonts w:ascii="Times New Roman" w:hAnsi="Times New Roman" w:cs="Times New Roman"/>
        </w:rPr>
        <w:t xml:space="preserve"> forecasting, scheduling through multiple dispatching algorithms, constraint-based optimization using OR-Tools CP-SAT, KPI evaluation, and visualization through a web-based dashboard. The forecasting component provides information about future energy conditions, while the scheduling component uses this information to determine suitable job assignments and processing times.</w:t>
      </w:r>
    </w:p>
    <w:p w14:paraId="43D98862"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Overall Methodology Flow:</w:t>
      </w:r>
    </w:p>
    <w:p w14:paraId="70F356EC" w14:textId="425A9079"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noProof/>
        </w:rPr>
        <w:drawing>
          <wp:inline distT="0" distB="0" distL="0" distR="0" wp14:anchorId="27654BCC" wp14:editId="1502554F">
            <wp:extent cx="5731510" cy="1714500"/>
            <wp:effectExtent l="0" t="0" r="2540" b="0"/>
            <wp:docPr id="2098496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rotWithShape="1">
                    <a:blip r:embed="rId9">
                      <a:extLst>
                        <a:ext uri="{28A0092B-C50C-407E-A947-70E740481C1C}">
                          <a14:useLocalDpi xmlns:a14="http://schemas.microsoft.com/office/drawing/2010/main" val="0"/>
                        </a:ext>
                      </a:extLst>
                    </a:blip>
                    <a:srcRect t="19396" b="22734"/>
                    <a:stretch>
                      <a:fillRect/>
                    </a:stretch>
                  </pic:blipFill>
                  <pic:spPr bwMode="auto">
                    <a:xfrm>
                      <a:off x="0" y="0"/>
                      <a:ext cx="573151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5F246AB1" w14:textId="36B24AFB"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complete architecture connects the forecasting engine, scheduling engine, KPI calculator, and interactive dashboard as a unified Manufacturing Analytics system.</w:t>
      </w:r>
    </w:p>
    <w:p w14:paraId="2DAFBD70" w14:textId="77777777" w:rsidR="007D63F6" w:rsidRPr="00A53AB4" w:rsidRDefault="007D63F6" w:rsidP="00A53AB4">
      <w:pPr>
        <w:spacing w:line="360" w:lineRule="auto"/>
        <w:jc w:val="both"/>
        <w:rPr>
          <w:rFonts w:ascii="Times New Roman" w:hAnsi="Times New Roman" w:cs="Times New Roman"/>
          <w:b/>
          <w:bCs/>
        </w:rPr>
      </w:pPr>
    </w:p>
    <w:p w14:paraId="131DE417" w14:textId="17C2F7F9"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4.2 Model Selection and Forecasting Methodology</w:t>
      </w:r>
    </w:p>
    <w:p w14:paraId="7CC40D62"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project uses </w:t>
      </w:r>
      <w:proofErr w:type="spellStart"/>
      <w:r w:rsidRPr="00A53AB4">
        <w:rPr>
          <w:rFonts w:ascii="Times New Roman" w:hAnsi="Times New Roman" w:cs="Times New Roman"/>
          <w:b/>
          <w:bCs/>
        </w:rPr>
        <w:t>XGBoost</w:t>
      </w:r>
      <w:proofErr w:type="spellEnd"/>
      <w:r w:rsidRPr="00A53AB4">
        <w:rPr>
          <w:rFonts w:ascii="Times New Roman" w:hAnsi="Times New Roman" w:cs="Times New Roman"/>
          <w:b/>
          <w:bCs/>
        </w:rPr>
        <w:t xml:space="preserve"> with native quantile regression</w:t>
      </w:r>
      <w:r w:rsidRPr="00A53AB4">
        <w:rPr>
          <w:rFonts w:ascii="Times New Roman" w:hAnsi="Times New Roman" w:cs="Times New Roman"/>
        </w:rPr>
        <w:t xml:space="preserve"> for energy forecasting and </w:t>
      </w:r>
      <w:r w:rsidRPr="00A53AB4">
        <w:rPr>
          <w:rFonts w:ascii="Times New Roman" w:hAnsi="Times New Roman" w:cs="Times New Roman"/>
          <w:b/>
          <w:bCs/>
        </w:rPr>
        <w:t>OR-Tools CP-SAT</w:t>
      </w:r>
      <w:r w:rsidRPr="00A53AB4">
        <w:rPr>
          <w:rFonts w:ascii="Times New Roman" w:hAnsi="Times New Roman" w:cs="Times New Roman"/>
        </w:rPr>
        <w:t xml:space="preserve"> for constraint-based scheduling optimization. The proposed FD-PDTS heuristic provides an energy-aware scheduling solution that can subsequently be used as a warm-start solution for CP-SAT.</w:t>
      </w:r>
    </w:p>
    <w:tbl>
      <w:tblPr>
        <w:tblStyle w:val="PlainTable1"/>
        <w:tblW w:w="0" w:type="auto"/>
        <w:tblLook w:val="04A0" w:firstRow="1" w:lastRow="0" w:firstColumn="1" w:lastColumn="0" w:noHBand="0" w:noVBand="1"/>
      </w:tblPr>
      <w:tblGrid>
        <w:gridCol w:w="2434"/>
        <w:gridCol w:w="2384"/>
        <w:gridCol w:w="4198"/>
      </w:tblGrid>
      <w:tr w:rsidR="00552A87" w:rsidRPr="00A53AB4" w14:paraId="2339F5F1"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2704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Component</w:t>
            </w:r>
          </w:p>
        </w:tc>
        <w:tc>
          <w:tcPr>
            <w:tcW w:w="0" w:type="auto"/>
            <w:hideMark/>
          </w:tcPr>
          <w:p w14:paraId="77DAEBA6"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Selected Method</w:t>
            </w:r>
          </w:p>
        </w:tc>
        <w:tc>
          <w:tcPr>
            <w:tcW w:w="0" w:type="auto"/>
            <w:hideMark/>
          </w:tcPr>
          <w:p w14:paraId="248F298E"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Purpose</w:t>
            </w:r>
          </w:p>
        </w:tc>
      </w:tr>
      <w:tr w:rsidR="00552A87" w:rsidRPr="00A53AB4" w14:paraId="45305F0C"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CF1BA"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Forecasting</w:t>
            </w:r>
          </w:p>
        </w:tc>
        <w:tc>
          <w:tcPr>
            <w:tcW w:w="0" w:type="auto"/>
            <w:hideMark/>
          </w:tcPr>
          <w:p w14:paraId="7CF21182"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3AB4">
              <w:rPr>
                <w:rFonts w:ascii="Times New Roman" w:hAnsi="Times New Roman" w:cs="Times New Roman"/>
              </w:rPr>
              <w:t>XGBoost</w:t>
            </w:r>
            <w:proofErr w:type="spellEnd"/>
          </w:p>
        </w:tc>
        <w:tc>
          <w:tcPr>
            <w:tcW w:w="0" w:type="auto"/>
            <w:hideMark/>
          </w:tcPr>
          <w:p w14:paraId="6D96971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Predict future industrial energy behaviour</w:t>
            </w:r>
          </w:p>
        </w:tc>
      </w:tr>
      <w:tr w:rsidR="00552A87" w:rsidRPr="00A53AB4" w14:paraId="0A122A7C"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BBB20A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Probabilistic Forecasting</w:t>
            </w:r>
          </w:p>
        </w:tc>
        <w:tc>
          <w:tcPr>
            <w:tcW w:w="0" w:type="auto"/>
            <w:hideMark/>
          </w:tcPr>
          <w:p w14:paraId="04E0A9F2"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Quantile </w:t>
            </w:r>
            <w:proofErr w:type="spellStart"/>
            <w:r w:rsidRPr="00A53AB4">
              <w:rPr>
                <w:rFonts w:ascii="Times New Roman" w:hAnsi="Times New Roman" w:cs="Times New Roman"/>
              </w:rPr>
              <w:t>XGBoost</w:t>
            </w:r>
            <w:proofErr w:type="spellEnd"/>
          </w:p>
        </w:tc>
        <w:tc>
          <w:tcPr>
            <w:tcW w:w="0" w:type="auto"/>
            <w:hideMark/>
          </w:tcPr>
          <w:p w14:paraId="39E46562"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Generate p10, p50, and p90 forecasts</w:t>
            </w:r>
          </w:p>
        </w:tc>
      </w:tr>
      <w:tr w:rsidR="00552A87" w:rsidRPr="00A53AB4" w14:paraId="49864A5B"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48E44"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Scheduling Heuristic</w:t>
            </w:r>
          </w:p>
        </w:tc>
        <w:tc>
          <w:tcPr>
            <w:tcW w:w="0" w:type="auto"/>
            <w:hideMark/>
          </w:tcPr>
          <w:p w14:paraId="4202C1E3"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FD-PDTS</w:t>
            </w:r>
          </w:p>
        </w:tc>
        <w:tc>
          <w:tcPr>
            <w:tcW w:w="0" w:type="auto"/>
            <w:hideMark/>
          </w:tcPr>
          <w:p w14:paraId="7ED4EC9D"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Forecast-driven energy-aware job dispatching</w:t>
            </w:r>
          </w:p>
        </w:tc>
      </w:tr>
      <w:tr w:rsidR="00552A87" w:rsidRPr="00A53AB4" w14:paraId="66674B08"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3FDF60B2"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Robust Scheduling</w:t>
            </w:r>
          </w:p>
        </w:tc>
        <w:tc>
          <w:tcPr>
            <w:tcW w:w="0" w:type="auto"/>
            <w:hideMark/>
          </w:tcPr>
          <w:p w14:paraId="778D6C1F"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FD-PDTS Robust</w:t>
            </w:r>
          </w:p>
        </w:tc>
        <w:tc>
          <w:tcPr>
            <w:tcW w:w="0" w:type="auto"/>
            <w:hideMark/>
          </w:tcPr>
          <w:p w14:paraId="0779CAD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Incorporate conservative peak-energy risk</w:t>
            </w:r>
          </w:p>
        </w:tc>
      </w:tr>
      <w:tr w:rsidR="00552A87" w:rsidRPr="00A53AB4" w14:paraId="5EA4FDCC"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66333"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Optimization</w:t>
            </w:r>
          </w:p>
        </w:tc>
        <w:tc>
          <w:tcPr>
            <w:tcW w:w="0" w:type="auto"/>
            <w:hideMark/>
          </w:tcPr>
          <w:p w14:paraId="27086795"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OR-Tools CP-SAT</w:t>
            </w:r>
          </w:p>
        </w:tc>
        <w:tc>
          <w:tcPr>
            <w:tcW w:w="0" w:type="auto"/>
            <w:hideMark/>
          </w:tcPr>
          <w:p w14:paraId="087A809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Refine schedules under manufacturing constraints</w:t>
            </w:r>
          </w:p>
        </w:tc>
      </w:tr>
      <w:tr w:rsidR="00552A87" w:rsidRPr="00A53AB4" w14:paraId="45F1A1E0"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7AA95120"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Backend</w:t>
            </w:r>
          </w:p>
        </w:tc>
        <w:tc>
          <w:tcPr>
            <w:tcW w:w="0" w:type="auto"/>
            <w:hideMark/>
          </w:tcPr>
          <w:p w14:paraId="4C9A268B"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53AB4">
              <w:rPr>
                <w:rFonts w:ascii="Times New Roman" w:hAnsi="Times New Roman" w:cs="Times New Roman"/>
              </w:rPr>
              <w:t>FastAPI</w:t>
            </w:r>
            <w:proofErr w:type="spellEnd"/>
          </w:p>
        </w:tc>
        <w:tc>
          <w:tcPr>
            <w:tcW w:w="0" w:type="auto"/>
            <w:hideMark/>
          </w:tcPr>
          <w:p w14:paraId="50C58E51"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Provide scheduling and KPI results through APIs</w:t>
            </w:r>
          </w:p>
        </w:tc>
      </w:tr>
      <w:tr w:rsidR="00552A87" w:rsidRPr="00A53AB4" w14:paraId="63D1F22A"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BF028"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Visualization</w:t>
            </w:r>
          </w:p>
        </w:tc>
        <w:tc>
          <w:tcPr>
            <w:tcW w:w="0" w:type="auto"/>
            <w:hideMark/>
          </w:tcPr>
          <w:p w14:paraId="4D9909F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Interactive Web Dashboard</w:t>
            </w:r>
          </w:p>
        </w:tc>
        <w:tc>
          <w:tcPr>
            <w:tcW w:w="0" w:type="auto"/>
            <w:hideMark/>
          </w:tcPr>
          <w:p w14:paraId="031F537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Display forecasts, schedules, Gantt charts, and KPIs</w:t>
            </w:r>
          </w:p>
        </w:tc>
      </w:tr>
    </w:tbl>
    <w:p w14:paraId="7698A3B6" w14:textId="77777777" w:rsidR="007D63F6" w:rsidRPr="00A53AB4" w:rsidRDefault="007D63F6" w:rsidP="00A53AB4">
      <w:pPr>
        <w:spacing w:line="360" w:lineRule="auto"/>
        <w:jc w:val="both"/>
        <w:rPr>
          <w:rFonts w:ascii="Times New Roman" w:hAnsi="Times New Roman" w:cs="Times New Roman"/>
        </w:rPr>
      </w:pPr>
    </w:p>
    <w:p w14:paraId="084431B8" w14:textId="4A032B15" w:rsidR="00552A87" w:rsidRPr="00A53AB4" w:rsidRDefault="00552A87" w:rsidP="00A53AB4">
      <w:pPr>
        <w:spacing w:line="360" w:lineRule="auto"/>
        <w:jc w:val="both"/>
        <w:rPr>
          <w:rFonts w:ascii="Times New Roman" w:hAnsi="Times New Roman" w:cs="Times New Roman"/>
        </w:rPr>
      </w:pPr>
      <w:proofErr w:type="spellStart"/>
      <w:r w:rsidRPr="00A53AB4">
        <w:rPr>
          <w:rFonts w:ascii="Times New Roman" w:hAnsi="Times New Roman" w:cs="Times New Roman"/>
        </w:rPr>
        <w:t>XGBoost</w:t>
      </w:r>
      <w:proofErr w:type="spellEnd"/>
      <w:r w:rsidRPr="00A53AB4">
        <w:rPr>
          <w:rFonts w:ascii="Times New Roman" w:hAnsi="Times New Roman" w:cs="Times New Roman"/>
        </w:rPr>
        <w:t xml:space="preserve"> is suitable for the forecasting stage because the project uses structured industrial SCADA data together with engineered temporal, lag, rolling, and categorical features. The model can capture nonlinear relationships between historical energy consumption and operational or temporal conditions. The implementation uses seven independent </w:t>
      </w:r>
      <w:proofErr w:type="spellStart"/>
      <w:r w:rsidRPr="00A53AB4">
        <w:rPr>
          <w:rFonts w:ascii="Times New Roman" w:hAnsi="Times New Roman" w:cs="Times New Roman"/>
        </w:rPr>
        <w:t>XGBoost</w:t>
      </w:r>
      <w:proofErr w:type="spellEnd"/>
      <w:r w:rsidRPr="00A53AB4">
        <w:rPr>
          <w:rFonts w:ascii="Times New Roman" w:hAnsi="Times New Roman" w:cs="Times New Roman"/>
        </w:rPr>
        <w:t xml:space="preserve"> regressors: p10, p50, and p90 for active energy consumption; p10, p50, and p90 for carbon emissions; and p50 for power factor.</w:t>
      </w:r>
    </w:p>
    <w:p w14:paraId="3B341F02"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primary </w:t>
      </w:r>
      <w:proofErr w:type="spellStart"/>
      <w:r w:rsidRPr="00A53AB4">
        <w:rPr>
          <w:rFonts w:ascii="Times New Roman" w:hAnsi="Times New Roman" w:cs="Times New Roman"/>
        </w:rPr>
        <w:t>XGBoost</w:t>
      </w:r>
      <w:proofErr w:type="spellEnd"/>
      <w:r w:rsidRPr="00A53AB4">
        <w:rPr>
          <w:rFonts w:ascii="Times New Roman" w:hAnsi="Times New Roman" w:cs="Times New Roman"/>
        </w:rPr>
        <w:t xml:space="preserve"> configuration is:</w:t>
      </w:r>
    </w:p>
    <w:tbl>
      <w:tblPr>
        <w:tblStyle w:val="PlainTable1"/>
        <w:tblW w:w="0" w:type="auto"/>
        <w:tblLook w:val="04A0" w:firstRow="1" w:lastRow="0" w:firstColumn="1" w:lastColumn="0" w:noHBand="0" w:noVBand="1"/>
      </w:tblPr>
      <w:tblGrid>
        <w:gridCol w:w="2690"/>
        <w:gridCol w:w="794"/>
      </w:tblGrid>
      <w:tr w:rsidR="00552A87" w:rsidRPr="00A53AB4" w14:paraId="74608BD5"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66E49"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Hyperparameter</w:t>
            </w:r>
          </w:p>
        </w:tc>
        <w:tc>
          <w:tcPr>
            <w:tcW w:w="0" w:type="auto"/>
            <w:hideMark/>
          </w:tcPr>
          <w:p w14:paraId="7B11C932"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Value</w:t>
            </w:r>
          </w:p>
        </w:tc>
      </w:tr>
      <w:tr w:rsidR="00552A87" w:rsidRPr="00A53AB4" w14:paraId="25DD8339"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15035"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Number of Estimators</w:t>
            </w:r>
          </w:p>
        </w:tc>
        <w:tc>
          <w:tcPr>
            <w:tcW w:w="0" w:type="auto"/>
            <w:hideMark/>
          </w:tcPr>
          <w:p w14:paraId="7CCED565"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300</w:t>
            </w:r>
          </w:p>
        </w:tc>
      </w:tr>
      <w:tr w:rsidR="00552A87" w:rsidRPr="00A53AB4" w14:paraId="5328B907"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3DFFDB2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Maximum Depth</w:t>
            </w:r>
          </w:p>
        </w:tc>
        <w:tc>
          <w:tcPr>
            <w:tcW w:w="0" w:type="auto"/>
            <w:hideMark/>
          </w:tcPr>
          <w:p w14:paraId="1B88336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5</w:t>
            </w:r>
          </w:p>
        </w:tc>
      </w:tr>
      <w:tr w:rsidR="00552A87" w:rsidRPr="00A53AB4" w14:paraId="18A9BE09"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F2DB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Learning Rate</w:t>
            </w:r>
          </w:p>
        </w:tc>
        <w:tc>
          <w:tcPr>
            <w:tcW w:w="0" w:type="auto"/>
            <w:hideMark/>
          </w:tcPr>
          <w:p w14:paraId="649A9096"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0.05</w:t>
            </w:r>
          </w:p>
        </w:tc>
      </w:tr>
      <w:tr w:rsidR="00552A87" w:rsidRPr="00A53AB4" w14:paraId="332E4ECF"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42EC1631"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Subsample</w:t>
            </w:r>
          </w:p>
        </w:tc>
        <w:tc>
          <w:tcPr>
            <w:tcW w:w="0" w:type="auto"/>
            <w:hideMark/>
          </w:tcPr>
          <w:p w14:paraId="761C351B"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0.8</w:t>
            </w:r>
          </w:p>
        </w:tc>
      </w:tr>
      <w:tr w:rsidR="00552A87" w:rsidRPr="00A53AB4" w14:paraId="5D26036A"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23ABC"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Column Sample by Tree</w:t>
            </w:r>
          </w:p>
        </w:tc>
        <w:tc>
          <w:tcPr>
            <w:tcW w:w="0" w:type="auto"/>
            <w:hideMark/>
          </w:tcPr>
          <w:p w14:paraId="0EE4087B"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0.8</w:t>
            </w:r>
          </w:p>
        </w:tc>
      </w:tr>
      <w:tr w:rsidR="00552A87" w:rsidRPr="00A53AB4" w14:paraId="02D24428"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165DE435"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Random Seed</w:t>
            </w:r>
          </w:p>
        </w:tc>
        <w:tc>
          <w:tcPr>
            <w:tcW w:w="0" w:type="auto"/>
            <w:hideMark/>
          </w:tcPr>
          <w:p w14:paraId="2B0891E8"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42</w:t>
            </w:r>
          </w:p>
        </w:tc>
      </w:tr>
    </w:tbl>
    <w:p w14:paraId="12DA83BE" w14:textId="77777777" w:rsidR="007D63F6" w:rsidRPr="00A53AB4" w:rsidRDefault="007D63F6" w:rsidP="00A53AB4">
      <w:pPr>
        <w:spacing w:line="360" w:lineRule="auto"/>
        <w:jc w:val="both"/>
        <w:rPr>
          <w:rFonts w:ascii="Times New Roman" w:hAnsi="Times New Roman" w:cs="Times New Roman"/>
        </w:rPr>
      </w:pPr>
    </w:p>
    <w:p w14:paraId="578D61F6" w14:textId="27A57DDE"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Tariff-based sample weighting is applied during training so that observations occurring during more expensive load periods receive greater importance.</w:t>
      </w:r>
    </w:p>
    <w:tbl>
      <w:tblPr>
        <w:tblStyle w:val="PlainTable1"/>
        <w:tblW w:w="0" w:type="auto"/>
        <w:tblLook w:val="04A0" w:firstRow="1" w:lastRow="0" w:firstColumn="1" w:lastColumn="0" w:noHBand="0" w:noVBand="1"/>
      </w:tblPr>
      <w:tblGrid>
        <w:gridCol w:w="1877"/>
        <w:gridCol w:w="1895"/>
      </w:tblGrid>
      <w:tr w:rsidR="00552A87" w:rsidRPr="00A53AB4" w14:paraId="00A156FE"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3F362"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Load Type</w:t>
            </w:r>
          </w:p>
        </w:tc>
        <w:tc>
          <w:tcPr>
            <w:tcW w:w="0" w:type="auto"/>
            <w:hideMark/>
          </w:tcPr>
          <w:p w14:paraId="5ACCDF5A"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Training Weight</w:t>
            </w:r>
          </w:p>
        </w:tc>
      </w:tr>
      <w:tr w:rsidR="00552A87" w:rsidRPr="00A53AB4" w14:paraId="2F0F67D9"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2F2D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Light Load</w:t>
            </w:r>
          </w:p>
        </w:tc>
        <w:tc>
          <w:tcPr>
            <w:tcW w:w="0" w:type="auto"/>
            <w:hideMark/>
          </w:tcPr>
          <w:p w14:paraId="487AEE2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w:t>
            </w:r>
          </w:p>
        </w:tc>
      </w:tr>
      <w:tr w:rsidR="00552A87" w:rsidRPr="00A53AB4" w14:paraId="245B8079"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7D0FB836"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Medium Load</w:t>
            </w:r>
          </w:p>
        </w:tc>
        <w:tc>
          <w:tcPr>
            <w:tcW w:w="0" w:type="auto"/>
            <w:hideMark/>
          </w:tcPr>
          <w:p w14:paraId="5F1ADB4A"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1.5×</w:t>
            </w:r>
          </w:p>
        </w:tc>
      </w:tr>
      <w:tr w:rsidR="00552A87" w:rsidRPr="00A53AB4" w14:paraId="1A35643E"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C6C95"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Maximum Load</w:t>
            </w:r>
          </w:p>
        </w:tc>
        <w:tc>
          <w:tcPr>
            <w:tcW w:w="0" w:type="auto"/>
            <w:hideMark/>
          </w:tcPr>
          <w:p w14:paraId="25BE8D0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3.0×</w:t>
            </w:r>
          </w:p>
        </w:tc>
      </w:tr>
    </w:tbl>
    <w:p w14:paraId="76F2887B" w14:textId="77777777" w:rsidR="007D63F6" w:rsidRPr="00A53AB4" w:rsidRDefault="007D63F6" w:rsidP="00A53AB4">
      <w:pPr>
        <w:spacing w:line="360" w:lineRule="auto"/>
        <w:jc w:val="both"/>
        <w:rPr>
          <w:rFonts w:ascii="Times New Roman" w:hAnsi="Times New Roman" w:cs="Times New Roman"/>
        </w:rPr>
      </w:pPr>
    </w:p>
    <w:p w14:paraId="0D536D6D" w14:textId="63FCDE8C"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forecasting process generates p10, p50, and p90 predictions representing lower, median, and upper expected conditions. Since independently trained quantile models can produce crossing predictions, an observation-level monotone rearrangement is applied to ensure </w:t>
      </w:r>
      <w:r w:rsidRPr="00A53AB4">
        <w:rPr>
          <w:rFonts w:ascii="Times New Roman" w:hAnsi="Times New Roman" w:cs="Times New Roman"/>
          <w:b/>
          <w:bCs/>
        </w:rPr>
        <w:t>p10 ≤ p50 ≤ p90</w:t>
      </w:r>
      <w:r w:rsidRPr="00A53AB4">
        <w:rPr>
          <w:rFonts w:ascii="Times New Roman" w:hAnsi="Times New Roman" w:cs="Times New Roman"/>
        </w:rPr>
        <w:t xml:space="preserve">. The implementation reduces the quantile crossing rate from 22.6% to </w:t>
      </w:r>
      <w:r w:rsidRPr="00A53AB4">
        <w:rPr>
          <w:rFonts w:ascii="Times New Roman" w:hAnsi="Times New Roman" w:cs="Times New Roman"/>
          <w:b/>
          <w:bCs/>
        </w:rPr>
        <w:t>0.00%</w:t>
      </w:r>
      <w:r w:rsidRPr="00A53AB4">
        <w:rPr>
          <w:rFonts w:ascii="Times New Roman" w:hAnsi="Times New Roman" w:cs="Times New Roman"/>
        </w:rPr>
        <w:t>. During the 48-hour recursive forecast, lag and rolling features are dynamically updated using the generated p50 predictions.</w:t>
      </w:r>
    </w:p>
    <w:p w14:paraId="3AD689C1" w14:textId="77777777" w:rsidR="00A53AB4" w:rsidRDefault="00A53AB4" w:rsidP="00A53AB4">
      <w:pPr>
        <w:spacing w:line="360" w:lineRule="auto"/>
        <w:jc w:val="both"/>
        <w:rPr>
          <w:rFonts w:ascii="Times New Roman" w:hAnsi="Times New Roman" w:cs="Times New Roman"/>
          <w:b/>
          <w:bCs/>
        </w:rPr>
      </w:pPr>
    </w:p>
    <w:p w14:paraId="5499AC56" w14:textId="34FF2260"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4.3 Scheduling Algorithms and Priority-Based Tariff Shifting</w:t>
      </w:r>
    </w:p>
    <w:p w14:paraId="267552DC"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scheduling component compares conventional scheduling approaches with forecast-driven and optimization-based methods. The benchmark contains </w:t>
      </w:r>
      <w:r w:rsidRPr="00A53AB4">
        <w:rPr>
          <w:rFonts w:ascii="Times New Roman" w:hAnsi="Times New Roman" w:cs="Times New Roman"/>
          <w:b/>
          <w:bCs/>
        </w:rPr>
        <w:t>10 scheduling algorithms</w:t>
      </w:r>
      <w:r w:rsidRPr="00A53AB4">
        <w:rPr>
          <w:rFonts w:ascii="Times New Roman" w:hAnsi="Times New Roman" w:cs="Times New Roman"/>
        </w:rPr>
        <w:t xml:space="preserve">, including FCFS, SPT, LPT, EDD, Energy-Unaware Greedy, </w:t>
      </w:r>
      <w:proofErr w:type="spellStart"/>
      <w:r w:rsidRPr="00A53AB4">
        <w:rPr>
          <w:rFonts w:ascii="Times New Roman" w:hAnsi="Times New Roman" w:cs="Times New Roman"/>
        </w:rPr>
        <w:t>Makespan</w:t>
      </w:r>
      <w:proofErr w:type="spellEnd"/>
      <w:r w:rsidRPr="00A53AB4">
        <w:rPr>
          <w:rFonts w:ascii="Times New Roman" w:hAnsi="Times New Roman" w:cs="Times New Roman"/>
        </w:rPr>
        <w:t xml:space="preserve"> Greedy, FD-PDTS Deterministic, FD-PDTS Robust, CP-SAT Warm-Start, and CP-SAT Cold-Start.</w:t>
      </w:r>
    </w:p>
    <w:tbl>
      <w:tblPr>
        <w:tblStyle w:val="PlainTable1"/>
        <w:tblW w:w="0" w:type="auto"/>
        <w:tblLook w:val="04A0" w:firstRow="1" w:lastRow="0" w:firstColumn="1" w:lastColumn="0" w:noHBand="0" w:noVBand="1"/>
      </w:tblPr>
      <w:tblGrid>
        <w:gridCol w:w="2324"/>
        <w:gridCol w:w="1683"/>
        <w:gridCol w:w="5009"/>
      </w:tblGrid>
      <w:tr w:rsidR="00552A87" w:rsidRPr="00A53AB4" w14:paraId="3D43A2A6"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87FC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Algorithm</w:t>
            </w:r>
          </w:p>
        </w:tc>
        <w:tc>
          <w:tcPr>
            <w:tcW w:w="0" w:type="auto"/>
            <w:hideMark/>
          </w:tcPr>
          <w:p w14:paraId="414C29C0"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Type</w:t>
            </w:r>
          </w:p>
        </w:tc>
        <w:tc>
          <w:tcPr>
            <w:tcW w:w="0" w:type="auto"/>
            <w:hideMark/>
          </w:tcPr>
          <w:p w14:paraId="21EA86D7"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Main Scheduling Logic</w:t>
            </w:r>
          </w:p>
        </w:tc>
      </w:tr>
      <w:tr w:rsidR="00552A87" w:rsidRPr="00A53AB4" w14:paraId="6E757010"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38B26"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FCFS</w:t>
            </w:r>
          </w:p>
        </w:tc>
        <w:tc>
          <w:tcPr>
            <w:tcW w:w="0" w:type="auto"/>
            <w:hideMark/>
          </w:tcPr>
          <w:p w14:paraId="76BE30A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Baseline</w:t>
            </w:r>
          </w:p>
        </w:tc>
        <w:tc>
          <w:tcPr>
            <w:tcW w:w="0" w:type="auto"/>
            <w:hideMark/>
          </w:tcPr>
          <w:p w14:paraId="795C8C0B"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Processes jobs according to arrival order</w:t>
            </w:r>
          </w:p>
        </w:tc>
      </w:tr>
      <w:tr w:rsidR="00552A87" w:rsidRPr="00A53AB4" w14:paraId="6B0D4221"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2A590F93"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SPT</w:t>
            </w:r>
          </w:p>
        </w:tc>
        <w:tc>
          <w:tcPr>
            <w:tcW w:w="0" w:type="auto"/>
            <w:hideMark/>
          </w:tcPr>
          <w:p w14:paraId="35B73453"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Baseline</w:t>
            </w:r>
          </w:p>
        </w:tc>
        <w:tc>
          <w:tcPr>
            <w:tcW w:w="0" w:type="auto"/>
            <w:hideMark/>
          </w:tcPr>
          <w:p w14:paraId="505F174A"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Prioritizes shortest processing times</w:t>
            </w:r>
          </w:p>
        </w:tc>
      </w:tr>
      <w:tr w:rsidR="00552A87" w:rsidRPr="00A53AB4" w14:paraId="176A9428"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EDA6E"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LPT</w:t>
            </w:r>
          </w:p>
        </w:tc>
        <w:tc>
          <w:tcPr>
            <w:tcW w:w="0" w:type="auto"/>
            <w:hideMark/>
          </w:tcPr>
          <w:p w14:paraId="2CFEA446"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Baseline</w:t>
            </w:r>
          </w:p>
        </w:tc>
        <w:tc>
          <w:tcPr>
            <w:tcW w:w="0" w:type="auto"/>
            <w:hideMark/>
          </w:tcPr>
          <w:p w14:paraId="3FF0E413"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Prioritizes longest processing times</w:t>
            </w:r>
          </w:p>
        </w:tc>
      </w:tr>
      <w:tr w:rsidR="00552A87" w:rsidRPr="00A53AB4" w14:paraId="43B958DE"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EC2818B"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EDD</w:t>
            </w:r>
          </w:p>
        </w:tc>
        <w:tc>
          <w:tcPr>
            <w:tcW w:w="0" w:type="auto"/>
            <w:hideMark/>
          </w:tcPr>
          <w:p w14:paraId="36F0A87C"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Baseline</w:t>
            </w:r>
          </w:p>
        </w:tc>
        <w:tc>
          <w:tcPr>
            <w:tcW w:w="0" w:type="auto"/>
            <w:hideMark/>
          </w:tcPr>
          <w:p w14:paraId="497C619B"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Prioritizes earliest due dates</w:t>
            </w:r>
          </w:p>
        </w:tc>
      </w:tr>
      <w:tr w:rsidR="00552A87" w:rsidRPr="00A53AB4" w14:paraId="6CBC7FCD"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30328"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Energy-Unaware Greedy</w:t>
            </w:r>
          </w:p>
        </w:tc>
        <w:tc>
          <w:tcPr>
            <w:tcW w:w="0" w:type="auto"/>
            <w:hideMark/>
          </w:tcPr>
          <w:p w14:paraId="7AECEC72"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Baseline</w:t>
            </w:r>
          </w:p>
        </w:tc>
        <w:tc>
          <w:tcPr>
            <w:tcW w:w="0" w:type="auto"/>
            <w:hideMark/>
          </w:tcPr>
          <w:p w14:paraId="6E37C63A"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Deliberately selects higher-power compatible machines</w:t>
            </w:r>
          </w:p>
        </w:tc>
      </w:tr>
      <w:tr w:rsidR="00552A87" w:rsidRPr="00A53AB4" w14:paraId="77D8E3F5"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167FC87F" w14:textId="77777777" w:rsidR="00552A87" w:rsidRPr="00A53AB4" w:rsidRDefault="00552A87" w:rsidP="00A53AB4">
            <w:pPr>
              <w:spacing w:after="160" w:line="360" w:lineRule="auto"/>
              <w:jc w:val="both"/>
              <w:rPr>
                <w:rFonts w:ascii="Times New Roman" w:hAnsi="Times New Roman" w:cs="Times New Roman"/>
              </w:rPr>
            </w:pPr>
            <w:proofErr w:type="spellStart"/>
            <w:r w:rsidRPr="00A53AB4">
              <w:rPr>
                <w:rFonts w:ascii="Times New Roman" w:hAnsi="Times New Roman" w:cs="Times New Roman"/>
              </w:rPr>
              <w:t>Makespan</w:t>
            </w:r>
            <w:proofErr w:type="spellEnd"/>
            <w:r w:rsidRPr="00A53AB4">
              <w:rPr>
                <w:rFonts w:ascii="Times New Roman" w:hAnsi="Times New Roman" w:cs="Times New Roman"/>
              </w:rPr>
              <w:t xml:space="preserve"> Greedy</w:t>
            </w:r>
          </w:p>
        </w:tc>
        <w:tc>
          <w:tcPr>
            <w:tcW w:w="0" w:type="auto"/>
            <w:hideMark/>
          </w:tcPr>
          <w:p w14:paraId="3F3B6EB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Baseline</w:t>
            </w:r>
          </w:p>
        </w:tc>
        <w:tc>
          <w:tcPr>
            <w:tcW w:w="0" w:type="auto"/>
            <w:hideMark/>
          </w:tcPr>
          <w:p w14:paraId="6612BC91"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Selects machines with the earliest current workload completion</w:t>
            </w:r>
          </w:p>
        </w:tc>
      </w:tr>
      <w:tr w:rsidR="00552A87" w:rsidRPr="00A53AB4" w14:paraId="1E1F6997"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E33A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FD-PDTS Deterministic</w:t>
            </w:r>
          </w:p>
        </w:tc>
        <w:tc>
          <w:tcPr>
            <w:tcW w:w="0" w:type="auto"/>
            <w:hideMark/>
          </w:tcPr>
          <w:p w14:paraId="74014F7B"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Proposed Heuristic</w:t>
            </w:r>
          </w:p>
        </w:tc>
        <w:tc>
          <w:tcPr>
            <w:tcW w:w="0" w:type="auto"/>
            <w:hideMark/>
          </w:tcPr>
          <w:p w14:paraId="7153278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Uses p50 forecasts, tariffs, priorities, and peak-load guards</w:t>
            </w:r>
          </w:p>
        </w:tc>
      </w:tr>
      <w:tr w:rsidR="00552A87" w:rsidRPr="00A53AB4" w14:paraId="4602A115"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362284B9"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FD-PDTS Robust</w:t>
            </w:r>
          </w:p>
        </w:tc>
        <w:tc>
          <w:tcPr>
            <w:tcW w:w="0" w:type="auto"/>
            <w:hideMark/>
          </w:tcPr>
          <w:p w14:paraId="654A6FE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Proposed Heuristic</w:t>
            </w:r>
          </w:p>
        </w:tc>
        <w:tc>
          <w:tcPr>
            <w:tcW w:w="0" w:type="auto"/>
            <w:hideMark/>
          </w:tcPr>
          <w:p w14:paraId="73B370FD"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Applies a 1.25× risk multiplier to peak tariff projections and overload risk</w:t>
            </w:r>
          </w:p>
        </w:tc>
      </w:tr>
      <w:tr w:rsidR="00552A87" w:rsidRPr="00A53AB4" w14:paraId="4709C86E"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A702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CP-SAT Warm-Start</w:t>
            </w:r>
          </w:p>
        </w:tc>
        <w:tc>
          <w:tcPr>
            <w:tcW w:w="0" w:type="auto"/>
            <w:hideMark/>
          </w:tcPr>
          <w:p w14:paraId="55DE6E7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Proposed Hybrid</w:t>
            </w:r>
          </w:p>
        </w:tc>
        <w:tc>
          <w:tcPr>
            <w:tcW w:w="0" w:type="auto"/>
            <w:hideMark/>
          </w:tcPr>
          <w:p w14:paraId="5141092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Refines the FD-PDTS Robust solution using CP-SAT</w:t>
            </w:r>
          </w:p>
        </w:tc>
      </w:tr>
      <w:tr w:rsidR="00552A87" w:rsidRPr="00A53AB4" w14:paraId="295729AD"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5D5B0FEE"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CP-SAT Cold-Start</w:t>
            </w:r>
          </w:p>
        </w:tc>
        <w:tc>
          <w:tcPr>
            <w:tcW w:w="0" w:type="auto"/>
            <w:hideMark/>
          </w:tcPr>
          <w:p w14:paraId="097F13DA"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Ablation Baseline</w:t>
            </w:r>
          </w:p>
        </w:tc>
        <w:tc>
          <w:tcPr>
            <w:tcW w:w="0" w:type="auto"/>
            <w:hideMark/>
          </w:tcPr>
          <w:p w14:paraId="6B29455E"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Runs CP-SAT without a heuristic warm start</w:t>
            </w:r>
          </w:p>
        </w:tc>
      </w:tr>
    </w:tbl>
    <w:p w14:paraId="0BF62674" w14:textId="77777777" w:rsidR="007D63F6" w:rsidRPr="00A53AB4" w:rsidRDefault="007D63F6" w:rsidP="00A53AB4">
      <w:pPr>
        <w:spacing w:line="360" w:lineRule="auto"/>
        <w:jc w:val="both"/>
        <w:rPr>
          <w:rFonts w:ascii="Times New Roman" w:hAnsi="Times New Roman" w:cs="Times New Roman"/>
        </w:rPr>
      </w:pPr>
    </w:p>
    <w:p w14:paraId="0FE69583" w14:textId="516ADEE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w:t>
      </w:r>
      <w:r w:rsidRPr="00A53AB4">
        <w:rPr>
          <w:rFonts w:ascii="Times New Roman" w:hAnsi="Times New Roman" w:cs="Times New Roman"/>
          <w:b/>
          <w:bCs/>
        </w:rPr>
        <w:t>FD-PDTS</w:t>
      </w:r>
      <w:r w:rsidRPr="00A53AB4">
        <w:rPr>
          <w:rFonts w:ascii="Times New Roman" w:hAnsi="Times New Roman" w:cs="Times New Roman"/>
        </w:rPr>
        <w:t xml:space="preserve"> method combines forecast information, tariff periods, machine power consumption, job priority, waiting time, machine compatibility, and deadlines when evaluating candidate scheduling decisions. Its objective is to shift flexible operations toward economically favourable periods without violating production constraints.</w:t>
      </w:r>
    </w:p>
    <w:p w14:paraId="1C0276E4"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Priority-based shifting limits provide different levels of flexibility to different jobs:</w:t>
      </w:r>
    </w:p>
    <w:tbl>
      <w:tblPr>
        <w:tblStyle w:val="PlainTable1"/>
        <w:tblW w:w="0" w:type="auto"/>
        <w:tblLook w:val="04A0" w:firstRow="1" w:lastRow="0" w:firstColumn="1" w:lastColumn="0" w:noHBand="0" w:noVBand="1"/>
      </w:tblPr>
      <w:tblGrid>
        <w:gridCol w:w="1083"/>
        <w:gridCol w:w="1836"/>
        <w:gridCol w:w="1868"/>
      </w:tblGrid>
      <w:tr w:rsidR="00552A87" w:rsidRPr="00A53AB4" w14:paraId="2760CAA3"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7DA6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Priority</w:t>
            </w:r>
          </w:p>
        </w:tc>
        <w:tc>
          <w:tcPr>
            <w:tcW w:w="0" w:type="auto"/>
            <w:hideMark/>
          </w:tcPr>
          <w:p w14:paraId="4DA35A05"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Maximum Shift</w:t>
            </w:r>
          </w:p>
        </w:tc>
        <w:tc>
          <w:tcPr>
            <w:tcW w:w="0" w:type="auto"/>
            <w:hideMark/>
          </w:tcPr>
          <w:p w14:paraId="0EC1442A"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Maximum Time</w:t>
            </w:r>
          </w:p>
        </w:tc>
      </w:tr>
      <w:tr w:rsidR="00552A87" w:rsidRPr="00A53AB4" w14:paraId="461C3CE4"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A9EB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High</w:t>
            </w:r>
          </w:p>
        </w:tc>
        <w:tc>
          <w:tcPr>
            <w:tcW w:w="0" w:type="auto"/>
            <w:hideMark/>
          </w:tcPr>
          <w:p w14:paraId="14B7A19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 slots</w:t>
            </w:r>
          </w:p>
        </w:tc>
        <w:tc>
          <w:tcPr>
            <w:tcW w:w="0" w:type="auto"/>
            <w:hideMark/>
          </w:tcPr>
          <w:p w14:paraId="63BF89F4"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 hours</w:t>
            </w:r>
          </w:p>
        </w:tc>
      </w:tr>
      <w:tr w:rsidR="00552A87" w:rsidRPr="00A53AB4" w14:paraId="0BC8262B"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4458DC35"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Medium</w:t>
            </w:r>
          </w:p>
        </w:tc>
        <w:tc>
          <w:tcPr>
            <w:tcW w:w="0" w:type="auto"/>
            <w:hideMark/>
          </w:tcPr>
          <w:p w14:paraId="2004ADE1"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6 slots</w:t>
            </w:r>
          </w:p>
        </w:tc>
        <w:tc>
          <w:tcPr>
            <w:tcW w:w="0" w:type="auto"/>
            <w:hideMark/>
          </w:tcPr>
          <w:p w14:paraId="6E8F554C"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1.5 hours</w:t>
            </w:r>
          </w:p>
        </w:tc>
      </w:tr>
      <w:tr w:rsidR="00552A87" w:rsidRPr="00A53AB4" w14:paraId="4424B6FF"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D0648"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Low</w:t>
            </w:r>
          </w:p>
        </w:tc>
        <w:tc>
          <w:tcPr>
            <w:tcW w:w="0" w:type="auto"/>
            <w:hideMark/>
          </w:tcPr>
          <w:p w14:paraId="2996B6A6"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8 slots</w:t>
            </w:r>
          </w:p>
        </w:tc>
        <w:tc>
          <w:tcPr>
            <w:tcW w:w="0" w:type="auto"/>
            <w:hideMark/>
          </w:tcPr>
          <w:p w14:paraId="15E9C484"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2 hours</w:t>
            </w:r>
          </w:p>
        </w:tc>
      </w:tr>
    </w:tbl>
    <w:p w14:paraId="63B01F82" w14:textId="77777777" w:rsidR="007D63F6" w:rsidRPr="00A53AB4" w:rsidRDefault="007D63F6" w:rsidP="00A53AB4">
      <w:pPr>
        <w:spacing w:line="360" w:lineRule="auto"/>
        <w:jc w:val="both"/>
        <w:rPr>
          <w:rFonts w:ascii="Times New Roman" w:hAnsi="Times New Roman" w:cs="Times New Roman"/>
        </w:rPr>
      </w:pPr>
    </w:p>
    <w:p w14:paraId="4F8D3392" w14:textId="7D2DDE25"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deterministic FD-PDTS uses the normal forecast and tariff information, whereas the Robust version incorporates a </w:t>
      </w:r>
      <w:r w:rsidRPr="00A53AB4">
        <w:rPr>
          <w:rFonts w:ascii="Times New Roman" w:hAnsi="Times New Roman" w:cs="Times New Roman"/>
          <w:b/>
          <w:bCs/>
        </w:rPr>
        <w:t xml:space="preserve">1.25× risk multiplier on peak tariff projections together with </w:t>
      </w:r>
      <w:r w:rsidRPr="00A53AB4">
        <w:rPr>
          <w:rFonts w:ascii="Times New Roman" w:hAnsi="Times New Roman" w:cs="Times New Roman"/>
          <w:b/>
          <w:bCs/>
        </w:rPr>
        <w:lastRenderedPageBreak/>
        <w:t>a peak-overload penalty</w:t>
      </w:r>
      <w:r w:rsidRPr="00A53AB4">
        <w:rPr>
          <w:rFonts w:ascii="Times New Roman" w:hAnsi="Times New Roman" w:cs="Times New Roman"/>
        </w:rPr>
        <w:t>, making it more conservative when evaluating high-cost or high-load periods.</w:t>
      </w:r>
    </w:p>
    <w:p w14:paraId="75896E78" w14:textId="77777777" w:rsidR="00A53AB4" w:rsidRDefault="00A53AB4" w:rsidP="00A53AB4">
      <w:pPr>
        <w:spacing w:line="360" w:lineRule="auto"/>
        <w:jc w:val="both"/>
        <w:rPr>
          <w:rFonts w:ascii="Times New Roman" w:hAnsi="Times New Roman" w:cs="Times New Roman"/>
          <w:b/>
          <w:bCs/>
        </w:rPr>
      </w:pPr>
    </w:p>
    <w:p w14:paraId="77004732" w14:textId="536F7286"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4.4 Hybrid CP-SAT Optimization and Objective Formulation</w:t>
      </w:r>
    </w:p>
    <w:p w14:paraId="60B83D3A"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hybrid scheduling approach combines the fast feasible solution produced by FD-PDTS Robust with the constraint-solving capability of OR-Tools CP-SAT. FD-PDTS Robust first generates a feasible energy-aware schedule. This schedule is then supplied to CP-SAT as a warm-start solution or optimization hint. CP-SAT subsequently refines the schedule while enforcing the manufacturing constraints.</w:t>
      </w:r>
    </w:p>
    <w:p w14:paraId="6B8DC37A"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CP-SAT formulation represents job start times, completion times, and machine assignments as decision variables. Each job must be assigned to exactly one compatible machine, jobs assigned to the same machine cannot overlap, and sequence-dependent changeover requirements are incorporated. Job availability, priority-based shifting limits, production deadlines, and the peak grid-load guard are also considered.</w:t>
      </w:r>
    </w:p>
    <w:p w14:paraId="38910CDE"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documented optimization objective directly incorporates energy cost, tardiness, and waiting time:</w:t>
      </w:r>
    </w:p>
    <w:tbl>
      <w:tblPr>
        <w:tblStyle w:val="PlainTable1"/>
        <w:tblW w:w="0" w:type="auto"/>
        <w:tblLook w:val="04A0" w:firstRow="1" w:lastRow="0" w:firstColumn="1" w:lastColumn="0" w:noHBand="0" w:noVBand="1"/>
      </w:tblPr>
      <w:tblGrid>
        <w:gridCol w:w="2463"/>
        <w:gridCol w:w="950"/>
      </w:tblGrid>
      <w:tr w:rsidR="00552A87" w:rsidRPr="00A53AB4" w14:paraId="3C685A83"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769B4"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Objective Component</w:t>
            </w:r>
          </w:p>
        </w:tc>
        <w:tc>
          <w:tcPr>
            <w:tcW w:w="0" w:type="auto"/>
            <w:hideMark/>
          </w:tcPr>
          <w:p w14:paraId="448EFC0D"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Weight</w:t>
            </w:r>
          </w:p>
        </w:tc>
      </w:tr>
      <w:tr w:rsidR="00552A87" w:rsidRPr="00A53AB4" w14:paraId="1DD79BB0"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51AA0"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Cost</w:t>
            </w:r>
          </w:p>
        </w:tc>
        <w:tc>
          <w:tcPr>
            <w:tcW w:w="0" w:type="auto"/>
            <w:hideMark/>
          </w:tcPr>
          <w:p w14:paraId="63BB2717"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20</w:t>
            </w:r>
          </w:p>
        </w:tc>
      </w:tr>
      <w:tr w:rsidR="00552A87" w:rsidRPr="00A53AB4" w14:paraId="1CE43254"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737C6BDA"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Tardiness Penalty</w:t>
            </w:r>
          </w:p>
        </w:tc>
        <w:tc>
          <w:tcPr>
            <w:tcW w:w="0" w:type="auto"/>
            <w:hideMark/>
          </w:tcPr>
          <w:p w14:paraId="07427DE3"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r>
      <w:tr w:rsidR="00552A87" w:rsidRPr="00A53AB4" w14:paraId="1029D76D"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B713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Waiting Time Penalty</w:t>
            </w:r>
          </w:p>
        </w:tc>
        <w:tc>
          <w:tcPr>
            <w:tcW w:w="0" w:type="auto"/>
            <w:hideMark/>
          </w:tcPr>
          <w:p w14:paraId="29E34DBB"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350</w:t>
            </w:r>
          </w:p>
        </w:tc>
      </w:tr>
    </w:tbl>
    <w:p w14:paraId="34601EC1" w14:textId="77777777" w:rsidR="007D63F6" w:rsidRPr="00A53AB4" w:rsidRDefault="007D63F6" w:rsidP="00A53AB4">
      <w:pPr>
        <w:spacing w:line="360" w:lineRule="auto"/>
        <w:jc w:val="both"/>
        <w:rPr>
          <w:rFonts w:ascii="Times New Roman" w:hAnsi="Times New Roman" w:cs="Times New Roman"/>
        </w:rPr>
      </w:pPr>
    </w:p>
    <w:p w14:paraId="303A37EE" w14:textId="76B5B7FB"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objective therefore seeks to minimize energy-related cost while strongly penalizing deadline violations and controlling unnecessary waiting. Carbon emissions, peak load, idle energy, and power-factor penalty are calculated as evaluation KPIs, while the active CP-SAT objective directly uses the documented energy-cost, tardiness, and waiting-time terms.</w:t>
      </w:r>
    </w:p>
    <w:p w14:paraId="44807C4E"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CP-SAT implementation is evaluated in two configurations. The </w:t>
      </w:r>
      <w:r w:rsidRPr="00A53AB4">
        <w:rPr>
          <w:rFonts w:ascii="Times New Roman" w:hAnsi="Times New Roman" w:cs="Times New Roman"/>
          <w:b/>
          <w:bCs/>
        </w:rPr>
        <w:t>Warm-Start</w:t>
      </w:r>
      <w:r w:rsidRPr="00A53AB4">
        <w:rPr>
          <w:rFonts w:ascii="Times New Roman" w:hAnsi="Times New Roman" w:cs="Times New Roman"/>
        </w:rPr>
        <w:t xml:space="preserve"> configuration receives the FD-PDTS Robust solution as an initial hint, while the </w:t>
      </w:r>
      <w:r w:rsidRPr="00A53AB4">
        <w:rPr>
          <w:rFonts w:ascii="Times New Roman" w:hAnsi="Times New Roman" w:cs="Times New Roman"/>
          <w:b/>
          <w:bCs/>
        </w:rPr>
        <w:t>Cold-Start</w:t>
      </w:r>
      <w:r w:rsidRPr="00A53AB4">
        <w:rPr>
          <w:rFonts w:ascii="Times New Roman" w:hAnsi="Times New Roman" w:cs="Times New Roman"/>
        </w:rPr>
        <w:t xml:space="preserve"> configuration runs without these hints. This comparison is used as an ablation study to evaluate the contribution of the warm-start strategy.</w:t>
      </w:r>
    </w:p>
    <w:p w14:paraId="102D83D2" w14:textId="77777777"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lastRenderedPageBreak/>
        <w:t>4.5 Complete Scheduling Methodology and System Implementation</w:t>
      </w:r>
    </w:p>
    <w:p w14:paraId="3D26CDB4"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complete methodology integrates forecasting, scheduling, optimization, KPI calculation, and visualization into a single system. The forecasting module processes historical SCADA data and produces a 48-hour multi-quantile forecast. The scheduling engine then evaluates the generated manufacturing jobs using conventional baselines, energy-aware heuristics, and CP-SAT optimization. The resulting schedules are evaluated using energy, manufacturing, service-level, and environmental KPIs before being presented through the interactive dashboard.</w:t>
      </w:r>
    </w:p>
    <w:p w14:paraId="14AE57FF"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Complete Methodology:</w:t>
      </w:r>
    </w:p>
    <w:p w14:paraId="353B5071" w14:textId="3F89D478"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noProof/>
        </w:rPr>
        <w:drawing>
          <wp:inline distT="0" distB="0" distL="0" distR="0" wp14:anchorId="25A8DC22" wp14:editId="6C2C5132">
            <wp:extent cx="5731510" cy="3126105"/>
            <wp:effectExtent l="0" t="0" r="2540" b="0"/>
            <wp:docPr id="2069185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6929E708" w14:textId="3465820F"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implementation generates schedules by identifying compatible machines and feasible start times for each job while considering processing duration, machine availability, tariffs, job priority, waiting time, deadlines, machine power consumption, and scheduling constraints. The final schedules are passed to the KPI calculation engine, which evaluates metrics such as total energy cost, peak grid load, carbon emissions, power-factor penalty, </w:t>
      </w:r>
      <w:proofErr w:type="spellStart"/>
      <w:r w:rsidRPr="00A53AB4">
        <w:rPr>
          <w:rFonts w:ascii="Times New Roman" w:hAnsi="Times New Roman" w:cs="Times New Roman"/>
        </w:rPr>
        <w:t>makespan</w:t>
      </w:r>
      <w:proofErr w:type="spellEnd"/>
      <w:r w:rsidRPr="00A53AB4">
        <w:rPr>
          <w:rFonts w:ascii="Times New Roman" w:hAnsi="Times New Roman" w:cs="Times New Roman"/>
        </w:rPr>
        <w:t xml:space="preserve">, machine utilization, waiting time, delay, and on-time completion. The </w:t>
      </w:r>
      <w:proofErr w:type="spellStart"/>
      <w:r w:rsidRPr="00A53AB4">
        <w:rPr>
          <w:rFonts w:ascii="Times New Roman" w:hAnsi="Times New Roman" w:cs="Times New Roman"/>
        </w:rPr>
        <w:t>FastAPI</w:t>
      </w:r>
      <w:proofErr w:type="spellEnd"/>
      <w:r w:rsidRPr="00A53AB4">
        <w:rPr>
          <w:rFonts w:ascii="Times New Roman" w:hAnsi="Times New Roman" w:cs="Times New Roman"/>
        </w:rPr>
        <w:t xml:space="preserve"> backend exposes these results to the interactive dashboard, which provides schedule visualizations, machine-wise Gantt charts, forecast plots, and algorithm comparisons.</w:t>
      </w:r>
    </w:p>
    <w:p w14:paraId="10E09598" w14:textId="77777777" w:rsidR="00552A87" w:rsidRPr="00A53AB4" w:rsidRDefault="00552A87" w:rsidP="00A53AB4">
      <w:pPr>
        <w:spacing w:line="360" w:lineRule="auto"/>
        <w:jc w:val="both"/>
        <w:rPr>
          <w:rFonts w:ascii="Times New Roman" w:hAnsi="Times New Roman" w:cs="Times New Roman"/>
        </w:rPr>
      </w:pPr>
    </w:p>
    <w:p w14:paraId="35595236" w14:textId="77777777" w:rsidR="00A53AB4" w:rsidRDefault="00A53AB4" w:rsidP="00A53AB4">
      <w:pPr>
        <w:spacing w:line="360" w:lineRule="auto"/>
        <w:jc w:val="both"/>
        <w:rPr>
          <w:rFonts w:ascii="Times New Roman" w:hAnsi="Times New Roman" w:cs="Times New Roman"/>
          <w:b/>
          <w:bCs/>
          <w:sz w:val="28"/>
          <w:szCs w:val="28"/>
        </w:rPr>
      </w:pPr>
    </w:p>
    <w:p w14:paraId="35A875EB" w14:textId="273B9F41" w:rsidR="00552A87" w:rsidRPr="00A53AB4" w:rsidRDefault="00552A87" w:rsidP="00A53AB4">
      <w:pPr>
        <w:spacing w:line="360" w:lineRule="auto"/>
        <w:jc w:val="both"/>
        <w:rPr>
          <w:rFonts w:ascii="Times New Roman" w:hAnsi="Times New Roman" w:cs="Times New Roman"/>
          <w:b/>
          <w:bCs/>
          <w:sz w:val="28"/>
          <w:szCs w:val="28"/>
        </w:rPr>
      </w:pPr>
      <w:r w:rsidRPr="00A53AB4">
        <w:rPr>
          <w:rFonts w:ascii="Times New Roman" w:hAnsi="Times New Roman" w:cs="Times New Roman"/>
          <w:b/>
          <w:bCs/>
          <w:sz w:val="28"/>
          <w:szCs w:val="28"/>
        </w:rPr>
        <w:lastRenderedPageBreak/>
        <w:t>5. METRICS TO MEASURE</w:t>
      </w:r>
    </w:p>
    <w:p w14:paraId="1AC093C9" w14:textId="77777777"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5.1 KPI Selection</w:t>
      </w:r>
    </w:p>
    <w:p w14:paraId="68F25092"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project uses a comprehensive set of KPIs to evaluate the performance of different scheduling strategies across energy, manufacturing, service-level, and environmental dimensions. The KPI framework is designed to determine whether reductions in energy cost and peak demand can be achieved without negatively affecting production performance or deadline compliance. The implemented system evaluates </w:t>
      </w:r>
      <w:r w:rsidRPr="00A53AB4">
        <w:rPr>
          <w:rFonts w:ascii="Times New Roman" w:hAnsi="Times New Roman" w:cs="Times New Roman"/>
          <w:b/>
          <w:bCs/>
        </w:rPr>
        <w:t>12 KPIs across four operational dimensions</w:t>
      </w:r>
      <w:r w:rsidRPr="00A53AB4">
        <w:rPr>
          <w:rFonts w:ascii="Times New Roman" w:hAnsi="Times New Roman" w:cs="Times New Roman"/>
        </w:rPr>
        <w:t>.</w:t>
      </w:r>
    </w:p>
    <w:tbl>
      <w:tblPr>
        <w:tblStyle w:val="PlainTable1"/>
        <w:tblW w:w="0" w:type="auto"/>
        <w:tblLook w:val="04A0" w:firstRow="1" w:lastRow="0" w:firstColumn="1" w:lastColumn="0" w:noHBand="0" w:noVBand="1"/>
      </w:tblPr>
      <w:tblGrid>
        <w:gridCol w:w="1776"/>
        <w:gridCol w:w="1791"/>
        <w:gridCol w:w="4114"/>
        <w:gridCol w:w="1335"/>
      </w:tblGrid>
      <w:tr w:rsidR="00552A87" w:rsidRPr="00A53AB4" w14:paraId="562EF2D6"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9E6FA"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Dimension</w:t>
            </w:r>
          </w:p>
        </w:tc>
        <w:tc>
          <w:tcPr>
            <w:tcW w:w="0" w:type="auto"/>
            <w:hideMark/>
          </w:tcPr>
          <w:p w14:paraId="1DEEDAEA"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KPI</w:t>
            </w:r>
          </w:p>
        </w:tc>
        <w:tc>
          <w:tcPr>
            <w:tcW w:w="0" w:type="auto"/>
            <w:hideMark/>
          </w:tcPr>
          <w:p w14:paraId="6F511188"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Purpose</w:t>
            </w:r>
          </w:p>
        </w:tc>
        <w:tc>
          <w:tcPr>
            <w:tcW w:w="0" w:type="auto"/>
            <w:hideMark/>
          </w:tcPr>
          <w:p w14:paraId="141A7609"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Unit</w:t>
            </w:r>
          </w:p>
        </w:tc>
      </w:tr>
      <w:tr w:rsidR="00552A87" w:rsidRPr="00A53AB4" w14:paraId="3325C5BA"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6E51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&amp; Cost</w:t>
            </w:r>
          </w:p>
        </w:tc>
        <w:tc>
          <w:tcPr>
            <w:tcW w:w="0" w:type="auto"/>
            <w:hideMark/>
          </w:tcPr>
          <w:p w14:paraId="092F8C0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Total Energy Cost</w:t>
            </w:r>
          </w:p>
        </w:tc>
        <w:tc>
          <w:tcPr>
            <w:tcW w:w="0" w:type="auto"/>
            <w:hideMark/>
          </w:tcPr>
          <w:p w14:paraId="001BDF3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Measures the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electricity cost of the schedule</w:t>
            </w:r>
          </w:p>
        </w:tc>
        <w:tc>
          <w:tcPr>
            <w:tcW w:w="0" w:type="auto"/>
            <w:hideMark/>
          </w:tcPr>
          <w:p w14:paraId="484FA97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INR (₹)</w:t>
            </w:r>
          </w:p>
        </w:tc>
      </w:tr>
      <w:tr w:rsidR="00552A87" w:rsidRPr="00A53AB4" w14:paraId="2B67F3D7"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4B1F43F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&amp; Cost</w:t>
            </w:r>
          </w:p>
        </w:tc>
        <w:tc>
          <w:tcPr>
            <w:tcW w:w="0" w:type="auto"/>
            <w:hideMark/>
          </w:tcPr>
          <w:p w14:paraId="097F3AF1"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Peak Grid Load</w:t>
            </w:r>
          </w:p>
        </w:tc>
        <w:tc>
          <w:tcPr>
            <w:tcW w:w="0" w:type="auto"/>
            <w:hideMark/>
          </w:tcPr>
          <w:p w14:paraId="7104EBB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Measures the maximum grid power demand</w:t>
            </w:r>
          </w:p>
        </w:tc>
        <w:tc>
          <w:tcPr>
            <w:tcW w:w="0" w:type="auto"/>
            <w:hideMark/>
          </w:tcPr>
          <w:p w14:paraId="64D3C636"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kW</w:t>
            </w:r>
          </w:p>
        </w:tc>
      </w:tr>
      <w:tr w:rsidR="00552A87" w:rsidRPr="00A53AB4" w14:paraId="57CCD6E0"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23A00"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&amp; Cost</w:t>
            </w:r>
          </w:p>
        </w:tc>
        <w:tc>
          <w:tcPr>
            <w:tcW w:w="0" w:type="auto"/>
            <w:hideMark/>
          </w:tcPr>
          <w:p w14:paraId="4677E2F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Total Active Energy</w:t>
            </w:r>
          </w:p>
        </w:tc>
        <w:tc>
          <w:tcPr>
            <w:tcW w:w="0" w:type="auto"/>
            <w:hideMark/>
          </w:tcPr>
          <w:p w14:paraId="004C380B"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Measures total energy consumed while machines actively process jobs</w:t>
            </w:r>
          </w:p>
        </w:tc>
        <w:tc>
          <w:tcPr>
            <w:tcW w:w="0" w:type="auto"/>
            <w:hideMark/>
          </w:tcPr>
          <w:p w14:paraId="070EA497"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kWh</w:t>
            </w:r>
          </w:p>
        </w:tc>
      </w:tr>
      <w:tr w:rsidR="00552A87" w:rsidRPr="00A53AB4" w14:paraId="60F16058"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85C230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&amp; Cost</w:t>
            </w:r>
          </w:p>
        </w:tc>
        <w:tc>
          <w:tcPr>
            <w:tcW w:w="0" w:type="auto"/>
            <w:hideMark/>
          </w:tcPr>
          <w:p w14:paraId="31B9E33F"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Power Factor Penalty</w:t>
            </w:r>
          </w:p>
        </w:tc>
        <w:tc>
          <w:tcPr>
            <w:tcW w:w="0" w:type="auto"/>
            <w:hideMark/>
          </w:tcPr>
          <w:p w14:paraId="434FB7D6"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Measures the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surcharge associated with low power factor</w:t>
            </w:r>
          </w:p>
        </w:tc>
        <w:tc>
          <w:tcPr>
            <w:tcW w:w="0" w:type="auto"/>
            <w:hideMark/>
          </w:tcPr>
          <w:p w14:paraId="644C5F50"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INR (₹)</w:t>
            </w:r>
          </w:p>
        </w:tc>
      </w:tr>
      <w:tr w:rsidR="00552A87" w:rsidRPr="00A53AB4" w14:paraId="6F2E4DD0"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9F978"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Manufacturing</w:t>
            </w:r>
          </w:p>
        </w:tc>
        <w:tc>
          <w:tcPr>
            <w:tcW w:w="0" w:type="auto"/>
            <w:hideMark/>
          </w:tcPr>
          <w:p w14:paraId="44B440D8"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A53AB4">
              <w:rPr>
                <w:rFonts w:ascii="Times New Roman" w:hAnsi="Times New Roman" w:cs="Times New Roman"/>
              </w:rPr>
              <w:t>Makespan</w:t>
            </w:r>
            <w:proofErr w:type="spellEnd"/>
          </w:p>
        </w:tc>
        <w:tc>
          <w:tcPr>
            <w:tcW w:w="0" w:type="auto"/>
            <w:hideMark/>
          </w:tcPr>
          <w:p w14:paraId="5228668D"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Measures the total schedule completion duration</w:t>
            </w:r>
          </w:p>
        </w:tc>
        <w:tc>
          <w:tcPr>
            <w:tcW w:w="0" w:type="auto"/>
            <w:hideMark/>
          </w:tcPr>
          <w:p w14:paraId="72F2FF05"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Hours / Minutes</w:t>
            </w:r>
          </w:p>
        </w:tc>
      </w:tr>
      <w:tr w:rsidR="00552A87" w:rsidRPr="00A53AB4" w14:paraId="68B16621"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5E6C0D16"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Manufacturing</w:t>
            </w:r>
          </w:p>
        </w:tc>
        <w:tc>
          <w:tcPr>
            <w:tcW w:w="0" w:type="auto"/>
            <w:hideMark/>
          </w:tcPr>
          <w:p w14:paraId="723EEDD0"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Machine Utilization</w:t>
            </w:r>
          </w:p>
        </w:tc>
        <w:tc>
          <w:tcPr>
            <w:tcW w:w="0" w:type="auto"/>
            <w:hideMark/>
          </w:tcPr>
          <w:p w14:paraId="7336492F"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Measures the percentage of available machine capacity used for processing</w:t>
            </w:r>
          </w:p>
        </w:tc>
        <w:tc>
          <w:tcPr>
            <w:tcW w:w="0" w:type="auto"/>
            <w:hideMark/>
          </w:tcPr>
          <w:p w14:paraId="04A27D66"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w:t>
            </w:r>
          </w:p>
        </w:tc>
      </w:tr>
      <w:tr w:rsidR="00552A87" w:rsidRPr="00A53AB4" w14:paraId="4C0F550D"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7E30A"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Manufacturing</w:t>
            </w:r>
          </w:p>
        </w:tc>
        <w:tc>
          <w:tcPr>
            <w:tcW w:w="0" w:type="auto"/>
            <w:hideMark/>
          </w:tcPr>
          <w:p w14:paraId="5BBDFBC7"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Average Waiting Time</w:t>
            </w:r>
          </w:p>
        </w:tc>
        <w:tc>
          <w:tcPr>
            <w:tcW w:w="0" w:type="auto"/>
            <w:hideMark/>
          </w:tcPr>
          <w:p w14:paraId="2270F8F5"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Measures the average time jobs remain waiting after becoming available</w:t>
            </w:r>
          </w:p>
        </w:tc>
        <w:tc>
          <w:tcPr>
            <w:tcW w:w="0" w:type="auto"/>
            <w:hideMark/>
          </w:tcPr>
          <w:p w14:paraId="630B858D"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Minutes</w:t>
            </w:r>
          </w:p>
        </w:tc>
      </w:tr>
      <w:tr w:rsidR="00552A87" w:rsidRPr="00A53AB4" w14:paraId="39A2F4E3"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033EC3F8"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Manufacturing</w:t>
            </w:r>
          </w:p>
        </w:tc>
        <w:tc>
          <w:tcPr>
            <w:tcW w:w="0" w:type="auto"/>
            <w:hideMark/>
          </w:tcPr>
          <w:p w14:paraId="19F0B852"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Total Idle Time</w:t>
            </w:r>
          </w:p>
        </w:tc>
        <w:tc>
          <w:tcPr>
            <w:tcW w:w="0" w:type="auto"/>
            <w:hideMark/>
          </w:tcPr>
          <w:p w14:paraId="42DBD03F"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Measures non-processing machine time during the </w:t>
            </w:r>
            <w:proofErr w:type="spellStart"/>
            <w:r w:rsidRPr="00A53AB4">
              <w:rPr>
                <w:rFonts w:ascii="Times New Roman" w:hAnsi="Times New Roman" w:cs="Times New Roman"/>
              </w:rPr>
              <w:t>makespan</w:t>
            </w:r>
            <w:proofErr w:type="spellEnd"/>
          </w:p>
        </w:tc>
        <w:tc>
          <w:tcPr>
            <w:tcW w:w="0" w:type="auto"/>
            <w:hideMark/>
          </w:tcPr>
          <w:p w14:paraId="05D0E30C"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Minutes</w:t>
            </w:r>
          </w:p>
        </w:tc>
      </w:tr>
      <w:tr w:rsidR="00552A87" w:rsidRPr="00A53AB4" w14:paraId="2790D5A2"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984C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Service Level</w:t>
            </w:r>
          </w:p>
        </w:tc>
        <w:tc>
          <w:tcPr>
            <w:tcW w:w="0" w:type="auto"/>
            <w:hideMark/>
          </w:tcPr>
          <w:p w14:paraId="0B8797BE"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Total Delay</w:t>
            </w:r>
          </w:p>
        </w:tc>
        <w:tc>
          <w:tcPr>
            <w:tcW w:w="0" w:type="auto"/>
            <w:hideMark/>
          </w:tcPr>
          <w:p w14:paraId="6BD5188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Measures cumulative delay beyond job deadlines</w:t>
            </w:r>
          </w:p>
        </w:tc>
        <w:tc>
          <w:tcPr>
            <w:tcW w:w="0" w:type="auto"/>
            <w:hideMark/>
          </w:tcPr>
          <w:p w14:paraId="691A0DD0"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Minutes</w:t>
            </w:r>
          </w:p>
        </w:tc>
      </w:tr>
      <w:tr w:rsidR="00552A87" w:rsidRPr="00A53AB4" w14:paraId="754D4D65"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7A605EF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Service Level</w:t>
            </w:r>
          </w:p>
        </w:tc>
        <w:tc>
          <w:tcPr>
            <w:tcW w:w="0" w:type="auto"/>
            <w:hideMark/>
          </w:tcPr>
          <w:p w14:paraId="5E2950D9"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Late Jobs Count</w:t>
            </w:r>
          </w:p>
        </w:tc>
        <w:tc>
          <w:tcPr>
            <w:tcW w:w="0" w:type="auto"/>
            <w:hideMark/>
          </w:tcPr>
          <w:p w14:paraId="720F8A8B"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Counts jobs completed after their deadlines</w:t>
            </w:r>
          </w:p>
        </w:tc>
        <w:tc>
          <w:tcPr>
            <w:tcW w:w="0" w:type="auto"/>
            <w:hideMark/>
          </w:tcPr>
          <w:p w14:paraId="5942DE0C"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Count</w:t>
            </w:r>
          </w:p>
        </w:tc>
      </w:tr>
      <w:tr w:rsidR="00552A87" w:rsidRPr="00A53AB4" w14:paraId="0487C335"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F1022"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Service Level</w:t>
            </w:r>
          </w:p>
        </w:tc>
        <w:tc>
          <w:tcPr>
            <w:tcW w:w="0" w:type="auto"/>
            <w:hideMark/>
          </w:tcPr>
          <w:p w14:paraId="3E3AA65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On-Time Completion</w:t>
            </w:r>
          </w:p>
        </w:tc>
        <w:tc>
          <w:tcPr>
            <w:tcW w:w="0" w:type="auto"/>
            <w:hideMark/>
          </w:tcPr>
          <w:p w14:paraId="6B0B5394"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Measures the percentage of jobs completed within their deadlines</w:t>
            </w:r>
          </w:p>
        </w:tc>
        <w:tc>
          <w:tcPr>
            <w:tcW w:w="0" w:type="auto"/>
            <w:hideMark/>
          </w:tcPr>
          <w:p w14:paraId="2C925305"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w:t>
            </w:r>
          </w:p>
        </w:tc>
      </w:tr>
      <w:tr w:rsidR="00552A87" w:rsidRPr="00A53AB4" w14:paraId="7849935A"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7587A4E"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Environmental</w:t>
            </w:r>
          </w:p>
        </w:tc>
        <w:tc>
          <w:tcPr>
            <w:tcW w:w="0" w:type="auto"/>
            <w:hideMark/>
          </w:tcPr>
          <w:p w14:paraId="4858E910"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Carbon Emissions</w:t>
            </w:r>
          </w:p>
        </w:tc>
        <w:tc>
          <w:tcPr>
            <w:tcW w:w="0" w:type="auto"/>
            <w:hideMark/>
          </w:tcPr>
          <w:p w14:paraId="15F1E5C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Measures the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carbon emissions associated with energy consumption</w:t>
            </w:r>
          </w:p>
        </w:tc>
        <w:tc>
          <w:tcPr>
            <w:tcW w:w="0" w:type="auto"/>
            <w:hideMark/>
          </w:tcPr>
          <w:p w14:paraId="7C08CA66"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r>
    </w:tbl>
    <w:p w14:paraId="5307D1F7" w14:textId="77777777" w:rsidR="007D63F6" w:rsidRPr="00A53AB4" w:rsidRDefault="007D63F6" w:rsidP="00A53AB4">
      <w:pPr>
        <w:spacing w:line="360" w:lineRule="auto"/>
        <w:jc w:val="both"/>
        <w:rPr>
          <w:rFonts w:ascii="Times New Roman" w:hAnsi="Times New Roman" w:cs="Times New Roman"/>
          <w:b/>
          <w:bCs/>
        </w:rPr>
      </w:pPr>
    </w:p>
    <w:p w14:paraId="39A6DDE7" w14:textId="1900E96E"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5.2 Energy and Cost Performance Metrics</w:t>
      </w:r>
    </w:p>
    <w:p w14:paraId="519BCAA6"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Total Energy Cost</w:t>
      </w:r>
      <w:r w:rsidRPr="00A53AB4">
        <w:rPr>
          <w:rFonts w:ascii="Times New Roman" w:hAnsi="Times New Roman" w:cs="Times New Roman"/>
        </w:rPr>
        <w:t xml:space="preserve"> is the primary economic KPI and measures the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electricity cost associated with machine operation throughout the schedule. It incorporates active energy consumption together with applicable idle and setup costs and is evaluated against the corresponding Time-of-Use tariff periods. A lower value indicates a more economically efficient scheduling strategy. The implemented KPI calculation represents total energy cost using active energy, tariff cost, idle cost, and setup cost components.</w:t>
      </w:r>
    </w:p>
    <w:p w14:paraId="60BA1313"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Peak Grid Load</w:t>
      </w:r>
      <w:r w:rsidRPr="00A53AB4">
        <w:rPr>
          <w:rFonts w:ascii="Times New Roman" w:hAnsi="Times New Roman" w:cs="Times New Roman"/>
        </w:rPr>
        <w:t xml:space="preserve"> measures the maximum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power demand occurring at any point during the scheduling horizon. It reflects the combined power consumption of simultaneously operating machines and the baseline grid load. Reducing this value is important because simultaneous operation of high-power machines can increase demand and create excessive grid loading.</w:t>
      </w:r>
    </w:p>
    <w:p w14:paraId="5D7AB8C3"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Total Active Energy</w:t>
      </w:r>
      <w:r w:rsidRPr="00A53AB4">
        <w:rPr>
          <w:rFonts w:ascii="Times New Roman" w:hAnsi="Times New Roman" w:cs="Times New Roman"/>
        </w:rPr>
        <w:t xml:space="preserve"> measures the total energy consumed by machines while actively processing jobs. This metric helps distinguish reductions in electricity cost caused by tariff shifting from reductions in actual energy consumption. </w:t>
      </w:r>
      <w:r w:rsidRPr="00A53AB4">
        <w:rPr>
          <w:rFonts w:ascii="Times New Roman" w:hAnsi="Times New Roman" w:cs="Times New Roman"/>
          <w:b/>
          <w:bCs/>
        </w:rPr>
        <w:t>Power Factor Penalty</w:t>
      </w:r>
      <w:r w:rsidRPr="00A53AB4">
        <w:rPr>
          <w:rFonts w:ascii="Times New Roman" w:hAnsi="Times New Roman" w:cs="Times New Roman"/>
        </w:rPr>
        <w:t xml:space="preserve"> measures the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surcharge associated with forecasted power-factor values below the specified 0.90 threshold.</w:t>
      </w:r>
    </w:p>
    <w:p w14:paraId="0F0EB5FB" w14:textId="77777777" w:rsidR="00A53AB4" w:rsidRDefault="00A53AB4" w:rsidP="00A53AB4">
      <w:pPr>
        <w:spacing w:line="360" w:lineRule="auto"/>
        <w:jc w:val="both"/>
        <w:rPr>
          <w:rFonts w:ascii="Times New Roman" w:hAnsi="Times New Roman" w:cs="Times New Roman"/>
          <w:b/>
          <w:bCs/>
        </w:rPr>
      </w:pPr>
    </w:p>
    <w:p w14:paraId="480EEA27" w14:textId="3EB3B40A"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5.3 Manufacturing and Production Performance Metrics</w:t>
      </w:r>
    </w:p>
    <w:p w14:paraId="7F39C7C9" w14:textId="77777777" w:rsidR="00552A87" w:rsidRPr="00A53AB4" w:rsidRDefault="00552A87" w:rsidP="00A53AB4">
      <w:pPr>
        <w:spacing w:line="360" w:lineRule="auto"/>
        <w:jc w:val="both"/>
        <w:rPr>
          <w:rFonts w:ascii="Times New Roman" w:hAnsi="Times New Roman" w:cs="Times New Roman"/>
        </w:rPr>
      </w:pPr>
      <w:proofErr w:type="spellStart"/>
      <w:r w:rsidRPr="00A53AB4">
        <w:rPr>
          <w:rFonts w:ascii="Times New Roman" w:hAnsi="Times New Roman" w:cs="Times New Roman"/>
          <w:b/>
          <w:bCs/>
        </w:rPr>
        <w:t>Makespan</w:t>
      </w:r>
      <w:proofErr w:type="spellEnd"/>
      <w:r w:rsidRPr="00A53AB4">
        <w:rPr>
          <w:rFonts w:ascii="Times New Roman" w:hAnsi="Times New Roman" w:cs="Times New Roman"/>
        </w:rPr>
        <w:t xml:space="preserve"> represents the total time required to complete the manufacturing schedule, calculated from the earliest job start to the latest job completion. It provides an indication of overall production duration and allows the effect of energy-aware scheduling on production efficiency to be evaluated.</w:t>
      </w:r>
    </w:p>
    <w:p w14:paraId="66B26041"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lastRenderedPageBreak/>
        <w:t>Machine Utilization</w:t>
      </w:r>
      <w:r w:rsidRPr="00A53AB4">
        <w:rPr>
          <w:rFonts w:ascii="Times New Roman" w:hAnsi="Times New Roman" w:cs="Times New Roman"/>
        </w:rPr>
        <w:t xml:space="preserve"> measures the proportion of available machine capacity that is used for active processing during the schedule. Higher utilization generally indicates more effective use of available manufacturing resources, while lower utilization may occur when jobs are intentionally shifted to different tariff periods.</w:t>
      </w:r>
    </w:p>
    <w:p w14:paraId="64238FBA"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Average Waiting Time</w:t>
      </w:r>
      <w:r w:rsidRPr="00A53AB4">
        <w:rPr>
          <w:rFonts w:ascii="Times New Roman" w:hAnsi="Times New Roman" w:cs="Times New Roman"/>
        </w:rPr>
        <w:t xml:space="preserve"> measures the average time between a job's arrival or availability and its actual processing start. This metric is particularly relevant to the proposed approach because flexible jobs may intentionally wait for more favourable tariff or energy conditions. </w:t>
      </w:r>
      <w:r w:rsidRPr="00A53AB4">
        <w:rPr>
          <w:rFonts w:ascii="Times New Roman" w:hAnsi="Times New Roman" w:cs="Times New Roman"/>
          <w:b/>
          <w:bCs/>
        </w:rPr>
        <w:t>Total Idle Time</w:t>
      </w:r>
      <w:r w:rsidRPr="00A53AB4">
        <w:rPr>
          <w:rFonts w:ascii="Times New Roman" w:hAnsi="Times New Roman" w:cs="Times New Roman"/>
        </w:rPr>
        <w:t xml:space="preserve"> measures the total non-processing time of machines within the </w:t>
      </w:r>
      <w:proofErr w:type="spellStart"/>
      <w:r w:rsidRPr="00A53AB4">
        <w:rPr>
          <w:rFonts w:ascii="Times New Roman" w:hAnsi="Times New Roman" w:cs="Times New Roman"/>
        </w:rPr>
        <w:t>makespan</w:t>
      </w:r>
      <w:proofErr w:type="spellEnd"/>
      <w:r w:rsidRPr="00A53AB4">
        <w:rPr>
          <w:rFonts w:ascii="Times New Roman" w:hAnsi="Times New Roman" w:cs="Times New Roman"/>
        </w:rPr>
        <w:t xml:space="preserve"> and helps identify the operational impact of job shifting and machine allocation decisions.</w:t>
      </w:r>
    </w:p>
    <w:p w14:paraId="310F48D0" w14:textId="77777777" w:rsidR="00A53AB4" w:rsidRDefault="00A53AB4" w:rsidP="00A53AB4">
      <w:pPr>
        <w:spacing w:line="360" w:lineRule="auto"/>
        <w:jc w:val="both"/>
        <w:rPr>
          <w:rFonts w:ascii="Times New Roman" w:hAnsi="Times New Roman" w:cs="Times New Roman"/>
          <w:b/>
          <w:bCs/>
        </w:rPr>
      </w:pPr>
    </w:p>
    <w:p w14:paraId="434DC4E9" w14:textId="42682990"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5.4 Service-Level and Environmental Metrics</w:t>
      </w:r>
    </w:p>
    <w:p w14:paraId="1987FF88"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Total Delay</w:t>
      </w:r>
      <w:r w:rsidRPr="00A53AB4">
        <w:rPr>
          <w:rFonts w:ascii="Times New Roman" w:hAnsi="Times New Roman" w:cs="Times New Roman"/>
        </w:rPr>
        <w:t xml:space="preserve"> measures the cumulative amount of time by which jobs exceed their specified deadlines. </w:t>
      </w:r>
      <w:r w:rsidRPr="00A53AB4">
        <w:rPr>
          <w:rFonts w:ascii="Times New Roman" w:hAnsi="Times New Roman" w:cs="Times New Roman"/>
          <w:b/>
          <w:bCs/>
        </w:rPr>
        <w:t>Late Jobs Count</w:t>
      </w:r>
      <w:r w:rsidRPr="00A53AB4">
        <w:rPr>
          <w:rFonts w:ascii="Times New Roman" w:hAnsi="Times New Roman" w:cs="Times New Roman"/>
        </w:rPr>
        <w:t xml:space="preserve"> represents the number of jobs whose completion occurs after their deadlines. </w:t>
      </w:r>
      <w:r w:rsidRPr="00A53AB4">
        <w:rPr>
          <w:rFonts w:ascii="Times New Roman" w:hAnsi="Times New Roman" w:cs="Times New Roman"/>
          <w:b/>
          <w:bCs/>
        </w:rPr>
        <w:t>On-Time Completion</w:t>
      </w:r>
      <w:r w:rsidRPr="00A53AB4">
        <w:rPr>
          <w:rFonts w:ascii="Times New Roman" w:hAnsi="Times New Roman" w:cs="Times New Roman"/>
        </w:rPr>
        <w:t xml:space="preserve"> represents the percentage of jobs completed on or before their deadlines. These service-level metrics ensure that energy-cost and peak-load reductions are not achieved at the expense of unacceptable production delays.</w:t>
      </w:r>
    </w:p>
    <w:p w14:paraId="1162B291"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b/>
          <w:bCs/>
        </w:rPr>
        <w:t>Carbon Emissions</w:t>
      </w:r>
      <w:r w:rsidRPr="00A53AB4">
        <w:rPr>
          <w:rFonts w:ascii="Times New Roman" w:hAnsi="Times New Roman" w:cs="Times New Roman"/>
        </w:rPr>
        <w:t xml:space="preserve"> provide the environmental dimension of the evaluation. The metric estimates emissions associated with energy consumption and forecasted carbon-related conditions throughout the scheduling horizon. It allows different scheduling strategies to be compared not only according to economic performance but also according to their potential environmental impact.</w:t>
      </w:r>
    </w:p>
    <w:p w14:paraId="126913F5"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w:t>
      </w:r>
      <w:r w:rsidRPr="00A53AB4">
        <w:rPr>
          <w:rFonts w:ascii="Times New Roman" w:hAnsi="Times New Roman" w:cs="Times New Roman"/>
          <w:b/>
          <w:bCs/>
        </w:rPr>
        <w:t>Power Factor Penalty</w:t>
      </w:r>
      <w:r w:rsidRPr="00A53AB4">
        <w:rPr>
          <w:rFonts w:ascii="Times New Roman" w:hAnsi="Times New Roman" w:cs="Times New Roman"/>
        </w:rPr>
        <w:t xml:space="preserve"> is included as an electrical-efficiency KPI and represents the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penalty when forecasted power factor falls below the defined threshold. The project documentation records this metric as part of the 12-KPI evaluation framework.</w:t>
      </w:r>
    </w:p>
    <w:p w14:paraId="06648C96" w14:textId="77777777" w:rsidR="00A53AB4" w:rsidRDefault="00A53AB4" w:rsidP="00A53AB4">
      <w:pPr>
        <w:spacing w:line="360" w:lineRule="auto"/>
        <w:jc w:val="both"/>
        <w:rPr>
          <w:rFonts w:ascii="Times New Roman" w:hAnsi="Times New Roman" w:cs="Times New Roman"/>
          <w:b/>
          <w:bCs/>
        </w:rPr>
      </w:pPr>
    </w:p>
    <w:p w14:paraId="642F6915" w14:textId="326922B0"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5.5 Multi-Dimensional Evaluation</w:t>
      </w:r>
    </w:p>
    <w:p w14:paraId="09DF249F"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No single KPI is sufficient to evaluate an energy-aware manufacturing schedule. A scheduling method that minimizes electricity cost may increase waiting time or production duration, while a method that minimizes </w:t>
      </w:r>
      <w:proofErr w:type="spellStart"/>
      <w:r w:rsidRPr="00A53AB4">
        <w:rPr>
          <w:rFonts w:ascii="Times New Roman" w:hAnsi="Times New Roman" w:cs="Times New Roman"/>
        </w:rPr>
        <w:t>makespan</w:t>
      </w:r>
      <w:proofErr w:type="spellEnd"/>
      <w:r w:rsidRPr="00A53AB4">
        <w:rPr>
          <w:rFonts w:ascii="Times New Roman" w:hAnsi="Times New Roman" w:cs="Times New Roman"/>
        </w:rPr>
        <w:t xml:space="preserve"> may perform poorly during expensive tariff periods. </w:t>
      </w:r>
      <w:r w:rsidRPr="00A53AB4">
        <w:rPr>
          <w:rFonts w:ascii="Times New Roman" w:hAnsi="Times New Roman" w:cs="Times New Roman"/>
        </w:rPr>
        <w:lastRenderedPageBreak/>
        <w:t>Similarly, reducing peak demand should not result in excessive deadline violations or poor machine utilization.</w:t>
      </w:r>
    </w:p>
    <w:p w14:paraId="508CA102"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Therefore, the project evaluates scheduling performance across four complementary dimensions: </w:t>
      </w:r>
      <w:r w:rsidRPr="00A53AB4">
        <w:rPr>
          <w:rFonts w:ascii="Times New Roman" w:hAnsi="Times New Roman" w:cs="Times New Roman"/>
          <w:b/>
          <w:bCs/>
        </w:rPr>
        <w:t>Energy &amp; Cost, Manufacturing Performance, Service Level, and Environmental Performance</w:t>
      </w:r>
      <w:r w:rsidRPr="00A53AB4">
        <w:rPr>
          <w:rFonts w:ascii="Times New Roman" w:hAnsi="Times New Roman" w:cs="Times New Roman"/>
        </w:rPr>
        <w:t>. The combination of these KPIs provides a broader assessment of whether the proposed FD-PDTS and hybrid CP-SAT approaches can improve energy and cost performance while maintaining production requirements and deadline compliance.</w:t>
      </w:r>
    </w:p>
    <w:p w14:paraId="37AA3FF5" w14:textId="77777777" w:rsidR="00552A87" w:rsidRPr="00A53AB4" w:rsidRDefault="00552A87" w:rsidP="00A53AB4">
      <w:pPr>
        <w:spacing w:line="360" w:lineRule="auto"/>
        <w:jc w:val="both"/>
        <w:rPr>
          <w:rFonts w:ascii="Times New Roman" w:hAnsi="Times New Roman" w:cs="Times New Roman"/>
          <w:b/>
          <w:bCs/>
        </w:rPr>
      </w:pPr>
    </w:p>
    <w:p w14:paraId="49069E9B" w14:textId="77777777" w:rsidR="007D63F6" w:rsidRPr="00A53AB4" w:rsidRDefault="007D63F6" w:rsidP="00A53AB4">
      <w:pPr>
        <w:spacing w:line="360" w:lineRule="auto"/>
        <w:jc w:val="both"/>
        <w:rPr>
          <w:rFonts w:ascii="Times New Roman" w:hAnsi="Times New Roman" w:cs="Times New Roman"/>
          <w:b/>
          <w:bCs/>
          <w:sz w:val="28"/>
          <w:szCs w:val="28"/>
        </w:rPr>
      </w:pPr>
    </w:p>
    <w:p w14:paraId="6CDB5707" w14:textId="77777777" w:rsidR="007D63F6" w:rsidRPr="00A53AB4" w:rsidRDefault="007D63F6" w:rsidP="00A53AB4">
      <w:pPr>
        <w:spacing w:line="360" w:lineRule="auto"/>
        <w:jc w:val="both"/>
        <w:rPr>
          <w:rFonts w:ascii="Times New Roman" w:hAnsi="Times New Roman" w:cs="Times New Roman"/>
          <w:b/>
          <w:bCs/>
          <w:sz w:val="28"/>
          <w:szCs w:val="28"/>
        </w:rPr>
      </w:pPr>
    </w:p>
    <w:p w14:paraId="51568BFC" w14:textId="77777777" w:rsidR="007D63F6" w:rsidRPr="00A53AB4" w:rsidRDefault="007D63F6" w:rsidP="00A53AB4">
      <w:pPr>
        <w:spacing w:line="360" w:lineRule="auto"/>
        <w:jc w:val="both"/>
        <w:rPr>
          <w:rFonts w:ascii="Times New Roman" w:hAnsi="Times New Roman" w:cs="Times New Roman"/>
          <w:b/>
          <w:bCs/>
          <w:sz w:val="28"/>
          <w:szCs w:val="28"/>
        </w:rPr>
      </w:pPr>
    </w:p>
    <w:p w14:paraId="75E33932" w14:textId="77777777" w:rsidR="007D63F6" w:rsidRPr="00A53AB4" w:rsidRDefault="007D63F6" w:rsidP="00A53AB4">
      <w:pPr>
        <w:spacing w:line="360" w:lineRule="auto"/>
        <w:jc w:val="both"/>
        <w:rPr>
          <w:rFonts w:ascii="Times New Roman" w:hAnsi="Times New Roman" w:cs="Times New Roman"/>
          <w:b/>
          <w:bCs/>
          <w:sz w:val="28"/>
          <w:szCs w:val="28"/>
        </w:rPr>
      </w:pPr>
    </w:p>
    <w:p w14:paraId="517BB733" w14:textId="77777777" w:rsidR="007D63F6" w:rsidRPr="00A53AB4" w:rsidRDefault="007D63F6" w:rsidP="00A53AB4">
      <w:pPr>
        <w:spacing w:line="360" w:lineRule="auto"/>
        <w:jc w:val="both"/>
        <w:rPr>
          <w:rFonts w:ascii="Times New Roman" w:hAnsi="Times New Roman" w:cs="Times New Roman"/>
          <w:b/>
          <w:bCs/>
          <w:sz w:val="28"/>
          <w:szCs w:val="28"/>
        </w:rPr>
      </w:pPr>
    </w:p>
    <w:p w14:paraId="581C1EB0" w14:textId="77777777" w:rsidR="007D63F6" w:rsidRPr="00A53AB4" w:rsidRDefault="007D63F6" w:rsidP="00A53AB4">
      <w:pPr>
        <w:spacing w:line="360" w:lineRule="auto"/>
        <w:jc w:val="both"/>
        <w:rPr>
          <w:rFonts w:ascii="Times New Roman" w:hAnsi="Times New Roman" w:cs="Times New Roman"/>
          <w:b/>
          <w:bCs/>
          <w:sz w:val="28"/>
          <w:szCs w:val="28"/>
        </w:rPr>
      </w:pPr>
    </w:p>
    <w:p w14:paraId="1CDD89AF" w14:textId="77777777" w:rsidR="007D63F6" w:rsidRPr="00A53AB4" w:rsidRDefault="007D63F6" w:rsidP="00A53AB4">
      <w:pPr>
        <w:spacing w:line="360" w:lineRule="auto"/>
        <w:jc w:val="both"/>
        <w:rPr>
          <w:rFonts w:ascii="Times New Roman" w:hAnsi="Times New Roman" w:cs="Times New Roman"/>
          <w:b/>
          <w:bCs/>
          <w:sz w:val="28"/>
          <w:szCs w:val="28"/>
        </w:rPr>
      </w:pPr>
    </w:p>
    <w:p w14:paraId="2FDDBE3B" w14:textId="77777777" w:rsidR="007D63F6" w:rsidRPr="00A53AB4" w:rsidRDefault="007D63F6" w:rsidP="00A53AB4">
      <w:pPr>
        <w:spacing w:line="360" w:lineRule="auto"/>
        <w:jc w:val="both"/>
        <w:rPr>
          <w:rFonts w:ascii="Times New Roman" w:hAnsi="Times New Roman" w:cs="Times New Roman"/>
          <w:b/>
          <w:bCs/>
          <w:sz w:val="28"/>
          <w:szCs w:val="28"/>
        </w:rPr>
      </w:pPr>
    </w:p>
    <w:p w14:paraId="341AE712" w14:textId="77777777" w:rsidR="007D63F6" w:rsidRPr="00A53AB4" w:rsidRDefault="007D63F6" w:rsidP="00A53AB4">
      <w:pPr>
        <w:spacing w:line="360" w:lineRule="auto"/>
        <w:jc w:val="both"/>
        <w:rPr>
          <w:rFonts w:ascii="Times New Roman" w:hAnsi="Times New Roman" w:cs="Times New Roman"/>
          <w:b/>
          <w:bCs/>
          <w:sz w:val="28"/>
          <w:szCs w:val="28"/>
        </w:rPr>
      </w:pPr>
    </w:p>
    <w:p w14:paraId="5D7E528C" w14:textId="77777777" w:rsidR="007D63F6" w:rsidRPr="00A53AB4" w:rsidRDefault="007D63F6" w:rsidP="00A53AB4">
      <w:pPr>
        <w:spacing w:line="360" w:lineRule="auto"/>
        <w:jc w:val="both"/>
        <w:rPr>
          <w:rFonts w:ascii="Times New Roman" w:hAnsi="Times New Roman" w:cs="Times New Roman"/>
          <w:b/>
          <w:bCs/>
          <w:sz w:val="28"/>
          <w:szCs w:val="28"/>
        </w:rPr>
      </w:pPr>
    </w:p>
    <w:p w14:paraId="55C17DC4" w14:textId="77777777" w:rsidR="007D63F6" w:rsidRPr="00A53AB4" w:rsidRDefault="007D63F6" w:rsidP="00A53AB4">
      <w:pPr>
        <w:spacing w:line="360" w:lineRule="auto"/>
        <w:jc w:val="both"/>
        <w:rPr>
          <w:rFonts w:ascii="Times New Roman" w:hAnsi="Times New Roman" w:cs="Times New Roman"/>
          <w:b/>
          <w:bCs/>
          <w:sz w:val="28"/>
          <w:szCs w:val="28"/>
        </w:rPr>
      </w:pPr>
    </w:p>
    <w:p w14:paraId="30798160" w14:textId="77777777" w:rsidR="007D63F6" w:rsidRPr="00A53AB4" w:rsidRDefault="007D63F6" w:rsidP="00A53AB4">
      <w:pPr>
        <w:spacing w:line="360" w:lineRule="auto"/>
        <w:jc w:val="both"/>
        <w:rPr>
          <w:rFonts w:ascii="Times New Roman" w:hAnsi="Times New Roman" w:cs="Times New Roman"/>
          <w:b/>
          <w:bCs/>
          <w:sz w:val="28"/>
          <w:szCs w:val="28"/>
        </w:rPr>
      </w:pPr>
    </w:p>
    <w:p w14:paraId="7E73775C" w14:textId="77777777" w:rsidR="007D63F6" w:rsidRPr="00A53AB4" w:rsidRDefault="007D63F6" w:rsidP="00A53AB4">
      <w:pPr>
        <w:spacing w:line="360" w:lineRule="auto"/>
        <w:jc w:val="both"/>
        <w:rPr>
          <w:rFonts w:ascii="Times New Roman" w:hAnsi="Times New Roman" w:cs="Times New Roman"/>
          <w:b/>
          <w:bCs/>
          <w:sz w:val="28"/>
          <w:szCs w:val="28"/>
        </w:rPr>
      </w:pPr>
    </w:p>
    <w:p w14:paraId="3E9AFB7A" w14:textId="77777777" w:rsidR="007D63F6" w:rsidRPr="00A53AB4" w:rsidRDefault="007D63F6" w:rsidP="00A53AB4">
      <w:pPr>
        <w:spacing w:line="360" w:lineRule="auto"/>
        <w:jc w:val="both"/>
        <w:rPr>
          <w:rFonts w:ascii="Times New Roman" w:hAnsi="Times New Roman" w:cs="Times New Roman"/>
          <w:b/>
          <w:bCs/>
          <w:sz w:val="28"/>
          <w:szCs w:val="28"/>
        </w:rPr>
      </w:pPr>
    </w:p>
    <w:p w14:paraId="69A66382" w14:textId="77777777" w:rsidR="007D63F6" w:rsidRPr="00A53AB4" w:rsidRDefault="007D63F6" w:rsidP="00A53AB4">
      <w:pPr>
        <w:spacing w:line="360" w:lineRule="auto"/>
        <w:jc w:val="both"/>
        <w:rPr>
          <w:rFonts w:ascii="Times New Roman" w:hAnsi="Times New Roman" w:cs="Times New Roman"/>
          <w:b/>
          <w:bCs/>
          <w:sz w:val="28"/>
          <w:szCs w:val="28"/>
        </w:rPr>
      </w:pPr>
    </w:p>
    <w:p w14:paraId="6D267751" w14:textId="77777777" w:rsidR="007D63F6" w:rsidRPr="00A53AB4" w:rsidRDefault="007D63F6" w:rsidP="00A53AB4">
      <w:pPr>
        <w:spacing w:line="360" w:lineRule="auto"/>
        <w:jc w:val="both"/>
        <w:rPr>
          <w:rFonts w:ascii="Times New Roman" w:hAnsi="Times New Roman" w:cs="Times New Roman"/>
          <w:b/>
          <w:bCs/>
          <w:sz w:val="28"/>
          <w:szCs w:val="28"/>
        </w:rPr>
      </w:pPr>
    </w:p>
    <w:p w14:paraId="412CC03D" w14:textId="3E11DF2D"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sz w:val="28"/>
          <w:szCs w:val="28"/>
        </w:rPr>
        <w:lastRenderedPageBreak/>
        <w:t>6. RESULT REVIEW</w:t>
      </w:r>
    </w:p>
    <w:p w14:paraId="6CD7B036" w14:textId="77777777"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6.1 Benchmark Results</w:t>
      </w:r>
    </w:p>
    <w:p w14:paraId="298FEF78"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proposed scheduling framework was evaluated using a </w:t>
      </w:r>
      <w:r w:rsidRPr="00A53AB4">
        <w:rPr>
          <w:rFonts w:ascii="Times New Roman" w:hAnsi="Times New Roman" w:cs="Times New Roman"/>
          <w:b/>
          <w:bCs/>
        </w:rPr>
        <w:t>20-seed empirical benchmark</w:t>
      </w:r>
      <w:r w:rsidRPr="00A53AB4">
        <w:rPr>
          <w:rFonts w:ascii="Times New Roman" w:hAnsi="Times New Roman" w:cs="Times New Roman"/>
        </w:rPr>
        <w:t xml:space="preserve"> consisting of independent synthetic manufacturing instances generated using seeds 42–61. Each instance contains 160–200 manufacturing jobs and 8 heterogeneous machines over a 48-hour planning horizon. The evaluation compares conventional scheduling methods, energy-aware FD-PDTS approaches, and CP-SAT-based optimization methods using energy, production, service-level, and environmental KPIs.</w:t>
      </w:r>
    </w:p>
    <w:p w14:paraId="11E29F25"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aggregate benchmark results are presented below.</w:t>
      </w:r>
    </w:p>
    <w:tbl>
      <w:tblPr>
        <w:tblStyle w:val="PlainTable1"/>
        <w:tblW w:w="0" w:type="auto"/>
        <w:tblLook w:val="04A0" w:firstRow="1" w:lastRow="0" w:firstColumn="1" w:lastColumn="0" w:noHBand="0" w:noVBand="1"/>
      </w:tblPr>
      <w:tblGrid>
        <w:gridCol w:w="2214"/>
        <w:gridCol w:w="1801"/>
        <w:gridCol w:w="1436"/>
        <w:gridCol w:w="1800"/>
        <w:gridCol w:w="1765"/>
      </w:tblGrid>
      <w:tr w:rsidR="00552A87" w:rsidRPr="00A53AB4" w14:paraId="6B6D97EE"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00C08"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Algorithm</w:t>
            </w:r>
          </w:p>
        </w:tc>
        <w:tc>
          <w:tcPr>
            <w:tcW w:w="0" w:type="auto"/>
            <w:hideMark/>
          </w:tcPr>
          <w:p w14:paraId="22DA7496"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Energy Cost (₹)</w:t>
            </w:r>
          </w:p>
        </w:tc>
        <w:tc>
          <w:tcPr>
            <w:tcW w:w="0" w:type="auto"/>
            <w:hideMark/>
          </w:tcPr>
          <w:p w14:paraId="31B764A0"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Peak Grid Load (kW)</w:t>
            </w:r>
          </w:p>
        </w:tc>
        <w:tc>
          <w:tcPr>
            <w:tcW w:w="0" w:type="auto"/>
            <w:hideMark/>
          </w:tcPr>
          <w:p w14:paraId="639C2890"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Carbon Emissions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78CCFF5D"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On-Time Completion</w:t>
            </w:r>
          </w:p>
        </w:tc>
      </w:tr>
      <w:tr w:rsidR="00552A87" w:rsidRPr="00A53AB4" w14:paraId="34C5976C"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A7D1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FCFS</w:t>
            </w:r>
          </w:p>
        </w:tc>
        <w:tc>
          <w:tcPr>
            <w:tcW w:w="0" w:type="auto"/>
            <w:hideMark/>
          </w:tcPr>
          <w:p w14:paraId="1E4EEB40"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₹187,371.53 ± 5,607.45</w:t>
            </w:r>
          </w:p>
        </w:tc>
        <w:tc>
          <w:tcPr>
            <w:tcW w:w="0" w:type="auto"/>
            <w:hideMark/>
          </w:tcPr>
          <w:p w14:paraId="54A3B9A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784.48 ± 0.00</w:t>
            </w:r>
          </w:p>
        </w:tc>
        <w:tc>
          <w:tcPr>
            <w:tcW w:w="0" w:type="auto"/>
            <w:hideMark/>
          </w:tcPr>
          <w:p w14:paraId="28175AB3"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735.87 ± 32.70</w:t>
            </w:r>
          </w:p>
        </w:tc>
        <w:tc>
          <w:tcPr>
            <w:tcW w:w="0" w:type="auto"/>
            <w:hideMark/>
          </w:tcPr>
          <w:p w14:paraId="22FF3CA0"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r>
      <w:tr w:rsidR="00552A87" w:rsidRPr="00A53AB4" w14:paraId="052DC5C3"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1B4EE726"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Energy-Unaware Greedy</w:t>
            </w:r>
          </w:p>
        </w:tc>
        <w:tc>
          <w:tcPr>
            <w:tcW w:w="0" w:type="auto"/>
            <w:hideMark/>
          </w:tcPr>
          <w:p w14:paraId="3D065946"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₹191,935.57 ± 5,687.44</w:t>
            </w:r>
          </w:p>
        </w:tc>
        <w:tc>
          <w:tcPr>
            <w:tcW w:w="0" w:type="auto"/>
            <w:hideMark/>
          </w:tcPr>
          <w:p w14:paraId="379B9C4F"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784.48 ± 0.00</w:t>
            </w:r>
          </w:p>
        </w:tc>
        <w:tc>
          <w:tcPr>
            <w:tcW w:w="0" w:type="auto"/>
            <w:hideMark/>
          </w:tcPr>
          <w:p w14:paraId="67C86048"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768.07 ± 35.66</w:t>
            </w:r>
          </w:p>
        </w:tc>
        <w:tc>
          <w:tcPr>
            <w:tcW w:w="0" w:type="auto"/>
            <w:hideMark/>
          </w:tcPr>
          <w:p w14:paraId="0D22A55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r>
      <w:tr w:rsidR="00552A87" w:rsidRPr="00A53AB4" w14:paraId="6540491A"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8846F" w14:textId="77777777" w:rsidR="00552A87" w:rsidRPr="00A53AB4" w:rsidRDefault="00552A87" w:rsidP="00A53AB4">
            <w:pPr>
              <w:spacing w:after="160" w:line="360" w:lineRule="auto"/>
              <w:jc w:val="both"/>
              <w:rPr>
                <w:rFonts w:ascii="Times New Roman" w:hAnsi="Times New Roman" w:cs="Times New Roman"/>
              </w:rPr>
            </w:pPr>
            <w:proofErr w:type="spellStart"/>
            <w:r w:rsidRPr="00A53AB4">
              <w:rPr>
                <w:rFonts w:ascii="Times New Roman" w:hAnsi="Times New Roman" w:cs="Times New Roman"/>
              </w:rPr>
              <w:t>Makespan</w:t>
            </w:r>
            <w:proofErr w:type="spellEnd"/>
            <w:r w:rsidRPr="00A53AB4">
              <w:rPr>
                <w:rFonts w:ascii="Times New Roman" w:hAnsi="Times New Roman" w:cs="Times New Roman"/>
              </w:rPr>
              <w:t xml:space="preserve"> Greedy</w:t>
            </w:r>
          </w:p>
        </w:tc>
        <w:tc>
          <w:tcPr>
            <w:tcW w:w="0" w:type="auto"/>
            <w:hideMark/>
          </w:tcPr>
          <w:p w14:paraId="09CD71D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₹187,168.68 ± 5,940.02</w:t>
            </w:r>
          </w:p>
        </w:tc>
        <w:tc>
          <w:tcPr>
            <w:tcW w:w="0" w:type="auto"/>
            <w:hideMark/>
          </w:tcPr>
          <w:p w14:paraId="29940A16"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784.48 ± 0.00</w:t>
            </w:r>
          </w:p>
        </w:tc>
        <w:tc>
          <w:tcPr>
            <w:tcW w:w="0" w:type="auto"/>
            <w:hideMark/>
          </w:tcPr>
          <w:p w14:paraId="2F53B972"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736.69 ± 34.21</w:t>
            </w:r>
          </w:p>
        </w:tc>
        <w:tc>
          <w:tcPr>
            <w:tcW w:w="0" w:type="auto"/>
            <w:hideMark/>
          </w:tcPr>
          <w:p w14:paraId="39FE20E2"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r>
      <w:tr w:rsidR="00552A87" w:rsidRPr="00A53AB4" w14:paraId="64042066"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E4163D4"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SPT</w:t>
            </w:r>
          </w:p>
        </w:tc>
        <w:tc>
          <w:tcPr>
            <w:tcW w:w="0" w:type="auto"/>
            <w:hideMark/>
          </w:tcPr>
          <w:p w14:paraId="5D9F9FBE"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₹171,576.08 ± 4,278.27</w:t>
            </w:r>
          </w:p>
        </w:tc>
        <w:tc>
          <w:tcPr>
            <w:tcW w:w="0" w:type="auto"/>
            <w:hideMark/>
          </w:tcPr>
          <w:p w14:paraId="4FC0333C"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762.53 ± 15.57</w:t>
            </w:r>
          </w:p>
        </w:tc>
        <w:tc>
          <w:tcPr>
            <w:tcW w:w="0" w:type="auto"/>
            <w:hideMark/>
          </w:tcPr>
          <w:p w14:paraId="1B7A5E4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799.50 ± 34.94</w:t>
            </w:r>
          </w:p>
        </w:tc>
        <w:tc>
          <w:tcPr>
            <w:tcW w:w="0" w:type="auto"/>
            <w:hideMark/>
          </w:tcPr>
          <w:p w14:paraId="407F0589"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98.6%</w:t>
            </w:r>
          </w:p>
        </w:tc>
      </w:tr>
      <w:tr w:rsidR="00552A87" w:rsidRPr="00A53AB4" w14:paraId="1FB45406"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BDBC6"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EDD</w:t>
            </w:r>
          </w:p>
        </w:tc>
        <w:tc>
          <w:tcPr>
            <w:tcW w:w="0" w:type="auto"/>
            <w:hideMark/>
          </w:tcPr>
          <w:p w14:paraId="180AF1EE"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₹183,513.60 ± 5,814.67</w:t>
            </w:r>
          </w:p>
        </w:tc>
        <w:tc>
          <w:tcPr>
            <w:tcW w:w="0" w:type="auto"/>
            <w:hideMark/>
          </w:tcPr>
          <w:p w14:paraId="76EFF75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782.73 ± 3.66</w:t>
            </w:r>
          </w:p>
        </w:tc>
        <w:tc>
          <w:tcPr>
            <w:tcW w:w="0" w:type="auto"/>
            <w:hideMark/>
          </w:tcPr>
          <w:p w14:paraId="6EF1F564"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758.66 ± 33.45</w:t>
            </w:r>
          </w:p>
        </w:tc>
        <w:tc>
          <w:tcPr>
            <w:tcW w:w="0" w:type="auto"/>
            <w:hideMark/>
          </w:tcPr>
          <w:p w14:paraId="535FDD2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r>
      <w:tr w:rsidR="00552A87" w:rsidRPr="00A53AB4" w14:paraId="2CADE2F0"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40833C2"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FD-PDTS Deterministic</w:t>
            </w:r>
          </w:p>
        </w:tc>
        <w:tc>
          <w:tcPr>
            <w:tcW w:w="0" w:type="auto"/>
            <w:hideMark/>
          </w:tcPr>
          <w:p w14:paraId="29B6818E"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₹169,841.13 ± 6,606.72</w:t>
            </w:r>
          </w:p>
        </w:tc>
        <w:tc>
          <w:tcPr>
            <w:tcW w:w="0" w:type="auto"/>
            <w:hideMark/>
          </w:tcPr>
          <w:p w14:paraId="5994E386"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780.73 ± 7.85</w:t>
            </w:r>
          </w:p>
        </w:tc>
        <w:tc>
          <w:tcPr>
            <w:tcW w:w="0" w:type="auto"/>
            <w:hideMark/>
          </w:tcPr>
          <w:p w14:paraId="3FE97BB3"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683.86 ± 39.06</w:t>
            </w:r>
          </w:p>
        </w:tc>
        <w:tc>
          <w:tcPr>
            <w:tcW w:w="0" w:type="auto"/>
            <w:hideMark/>
          </w:tcPr>
          <w:p w14:paraId="7B3B4AB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r>
      <w:tr w:rsidR="00552A87" w:rsidRPr="00A53AB4" w14:paraId="6788CC21"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7DB4B"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FD-PDTS Robust</w:t>
            </w:r>
          </w:p>
        </w:tc>
        <w:tc>
          <w:tcPr>
            <w:tcW w:w="0" w:type="auto"/>
            <w:hideMark/>
          </w:tcPr>
          <w:p w14:paraId="4AD4985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₹169,397.15 ± 6,877.50</w:t>
            </w:r>
          </w:p>
        </w:tc>
        <w:tc>
          <w:tcPr>
            <w:tcW w:w="0" w:type="auto"/>
            <w:hideMark/>
          </w:tcPr>
          <w:p w14:paraId="58E66354"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780.73 ± 7.85</w:t>
            </w:r>
          </w:p>
        </w:tc>
        <w:tc>
          <w:tcPr>
            <w:tcW w:w="0" w:type="auto"/>
            <w:hideMark/>
          </w:tcPr>
          <w:p w14:paraId="197D802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686.43 ± 40.83</w:t>
            </w:r>
          </w:p>
        </w:tc>
        <w:tc>
          <w:tcPr>
            <w:tcW w:w="0" w:type="auto"/>
            <w:hideMark/>
          </w:tcPr>
          <w:p w14:paraId="7EAA54E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r>
      <w:tr w:rsidR="00552A87" w:rsidRPr="00A53AB4" w14:paraId="38DDABBD"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060C0B7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CP-SAT Warm-Start (Hybrid)</w:t>
            </w:r>
          </w:p>
        </w:tc>
        <w:tc>
          <w:tcPr>
            <w:tcW w:w="0" w:type="auto"/>
            <w:hideMark/>
          </w:tcPr>
          <w:p w14:paraId="1721C422"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₹127,254.28 ± 5,309.53</w:t>
            </w:r>
          </w:p>
        </w:tc>
        <w:tc>
          <w:tcPr>
            <w:tcW w:w="0" w:type="auto"/>
            <w:hideMark/>
          </w:tcPr>
          <w:p w14:paraId="056DFA49"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491.58 ± 33.16</w:t>
            </w:r>
          </w:p>
        </w:tc>
        <w:tc>
          <w:tcPr>
            <w:tcW w:w="0" w:type="auto"/>
            <w:hideMark/>
          </w:tcPr>
          <w:p w14:paraId="67278341"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558.80 ± 35.00</w:t>
            </w:r>
          </w:p>
        </w:tc>
        <w:tc>
          <w:tcPr>
            <w:tcW w:w="0" w:type="auto"/>
            <w:hideMark/>
          </w:tcPr>
          <w:p w14:paraId="71E3526A"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100.0%</w:t>
            </w:r>
          </w:p>
        </w:tc>
      </w:tr>
      <w:tr w:rsidR="00552A87" w:rsidRPr="00A53AB4" w14:paraId="575FF3B7"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2359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CP-SAT Cold-Start</w:t>
            </w:r>
          </w:p>
        </w:tc>
        <w:tc>
          <w:tcPr>
            <w:tcW w:w="0" w:type="auto"/>
            <w:hideMark/>
          </w:tcPr>
          <w:p w14:paraId="749FE4E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₹88,827.30 ± 4,804.01</w:t>
            </w:r>
          </w:p>
        </w:tc>
        <w:tc>
          <w:tcPr>
            <w:tcW w:w="0" w:type="auto"/>
            <w:hideMark/>
          </w:tcPr>
          <w:p w14:paraId="351E8C4D"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153.43 ± 22.16</w:t>
            </w:r>
          </w:p>
        </w:tc>
        <w:tc>
          <w:tcPr>
            <w:tcW w:w="0" w:type="auto"/>
            <w:hideMark/>
          </w:tcPr>
          <w:p w14:paraId="6FF939F7"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672.47 ± 35.69</w:t>
            </w:r>
          </w:p>
        </w:tc>
        <w:tc>
          <w:tcPr>
            <w:tcW w:w="0" w:type="auto"/>
            <w:hideMark/>
          </w:tcPr>
          <w:p w14:paraId="4731AA52"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93.2%</w:t>
            </w:r>
          </w:p>
        </w:tc>
      </w:tr>
    </w:tbl>
    <w:p w14:paraId="5C295478" w14:textId="77777777" w:rsidR="007D63F6" w:rsidRPr="00A53AB4" w:rsidRDefault="007D63F6" w:rsidP="00A53AB4">
      <w:pPr>
        <w:spacing w:line="360" w:lineRule="auto"/>
        <w:jc w:val="both"/>
        <w:rPr>
          <w:rFonts w:ascii="Times New Roman" w:hAnsi="Times New Roman" w:cs="Times New Roman"/>
        </w:rPr>
      </w:pPr>
    </w:p>
    <w:p w14:paraId="17158ADA" w14:textId="250C190A"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w:t>
      </w:r>
      <w:r w:rsidRPr="00A53AB4">
        <w:rPr>
          <w:rFonts w:ascii="Times New Roman" w:hAnsi="Times New Roman" w:cs="Times New Roman"/>
          <w:b/>
          <w:bCs/>
        </w:rPr>
        <w:t>CP-SAT Warm-Start Hybrid</w:t>
      </w:r>
      <w:r w:rsidRPr="00A53AB4">
        <w:rPr>
          <w:rFonts w:ascii="Times New Roman" w:hAnsi="Times New Roman" w:cs="Times New Roman"/>
        </w:rPr>
        <w:t xml:space="preserve"> provides the strongest balanced performance among the evaluated approaches. Compared with FCFS, it achieves substantial reductions in energy cost, peak grid load, and carbon emissions while maintaining complete deadline compliance.</w:t>
      </w:r>
    </w:p>
    <w:p w14:paraId="65F7C99D" w14:textId="77777777" w:rsidR="00A53AB4" w:rsidRDefault="00A53AB4" w:rsidP="00A53AB4">
      <w:pPr>
        <w:spacing w:line="360" w:lineRule="auto"/>
        <w:jc w:val="both"/>
        <w:rPr>
          <w:rFonts w:ascii="Times New Roman" w:hAnsi="Times New Roman" w:cs="Times New Roman"/>
          <w:b/>
          <w:bCs/>
        </w:rPr>
      </w:pPr>
    </w:p>
    <w:p w14:paraId="307C78BB" w14:textId="5A721761"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6.2 Energy Cost and Production Performance</w:t>
      </w:r>
    </w:p>
    <w:p w14:paraId="323065DE"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Hybrid CP-SAT approach reduces the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energy cost compared with the FCFS baseline. The comparison between the two methods is summarized below.</w:t>
      </w:r>
    </w:p>
    <w:tbl>
      <w:tblPr>
        <w:tblStyle w:val="PlainTable1"/>
        <w:tblW w:w="0" w:type="auto"/>
        <w:tblLook w:val="04A0" w:firstRow="1" w:lastRow="0" w:firstColumn="1" w:lastColumn="0" w:noHBand="0" w:noVBand="1"/>
      </w:tblPr>
      <w:tblGrid>
        <w:gridCol w:w="2224"/>
        <w:gridCol w:w="1416"/>
        <w:gridCol w:w="2839"/>
        <w:gridCol w:w="2537"/>
      </w:tblGrid>
      <w:tr w:rsidR="00552A87" w:rsidRPr="00A53AB4" w14:paraId="034BC8AD"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0B784"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Metric</w:t>
            </w:r>
          </w:p>
        </w:tc>
        <w:tc>
          <w:tcPr>
            <w:tcW w:w="0" w:type="auto"/>
            <w:hideMark/>
          </w:tcPr>
          <w:p w14:paraId="4D4CE977"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FCFS</w:t>
            </w:r>
          </w:p>
        </w:tc>
        <w:tc>
          <w:tcPr>
            <w:tcW w:w="0" w:type="auto"/>
            <w:hideMark/>
          </w:tcPr>
          <w:p w14:paraId="1AA56202"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CP-SAT Warm-Start (Hybrid)</w:t>
            </w:r>
          </w:p>
        </w:tc>
        <w:tc>
          <w:tcPr>
            <w:tcW w:w="0" w:type="auto"/>
            <w:hideMark/>
          </w:tcPr>
          <w:p w14:paraId="55ADB028"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Improvement / Difference</w:t>
            </w:r>
          </w:p>
        </w:tc>
      </w:tr>
      <w:tr w:rsidR="00552A87" w:rsidRPr="00A53AB4" w14:paraId="414920E2"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35AB"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Total Energy Cost</w:t>
            </w:r>
          </w:p>
        </w:tc>
        <w:tc>
          <w:tcPr>
            <w:tcW w:w="0" w:type="auto"/>
            <w:hideMark/>
          </w:tcPr>
          <w:p w14:paraId="723DAA07"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₹187,371.53</w:t>
            </w:r>
          </w:p>
        </w:tc>
        <w:tc>
          <w:tcPr>
            <w:tcW w:w="0" w:type="auto"/>
            <w:hideMark/>
          </w:tcPr>
          <w:p w14:paraId="42B0B545"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₹127,254.28</w:t>
            </w:r>
          </w:p>
        </w:tc>
        <w:tc>
          <w:tcPr>
            <w:tcW w:w="0" w:type="auto"/>
            <w:hideMark/>
          </w:tcPr>
          <w:p w14:paraId="1026F31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32.1% reduction</w:t>
            </w:r>
          </w:p>
        </w:tc>
      </w:tr>
      <w:tr w:rsidR="00552A87" w:rsidRPr="00A53AB4" w14:paraId="23012A60"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2D7F6248"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Peak Grid Load</w:t>
            </w:r>
          </w:p>
        </w:tc>
        <w:tc>
          <w:tcPr>
            <w:tcW w:w="0" w:type="auto"/>
            <w:hideMark/>
          </w:tcPr>
          <w:p w14:paraId="0AEA3861"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784.48 kW</w:t>
            </w:r>
          </w:p>
        </w:tc>
        <w:tc>
          <w:tcPr>
            <w:tcW w:w="0" w:type="auto"/>
            <w:hideMark/>
          </w:tcPr>
          <w:p w14:paraId="56819B02"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491.58 kW</w:t>
            </w:r>
          </w:p>
        </w:tc>
        <w:tc>
          <w:tcPr>
            <w:tcW w:w="0" w:type="auto"/>
            <w:hideMark/>
          </w:tcPr>
          <w:p w14:paraId="4524774A"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37.3% reduction</w:t>
            </w:r>
          </w:p>
        </w:tc>
      </w:tr>
      <w:tr w:rsidR="00552A87" w:rsidRPr="00A53AB4" w14:paraId="296100DA"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36C34"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Carbon Emissions</w:t>
            </w:r>
          </w:p>
        </w:tc>
        <w:tc>
          <w:tcPr>
            <w:tcW w:w="0" w:type="auto"/>
            <w:hideMark/>
          </w:tcPr>
          <w:p w14:paraId="2A1B041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735.87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6978FAA3"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558.80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61342AF6"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24.1% reduction</w:t>
            </w:r>
          </w:p>
        </w:tc>
      </w:tr>
      <w:tr w:rsidR="00552A87" w:rsidRPr="00A53AB4" w14:paraId="12EA3F88"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096A6AB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Power Factor Penalty</w:t>
            </w:r>
          </w:p>
        </w:tc>
        <w:tc>
          <w:tcPr>
            <w:tcW w:w="0" w:type="auto"/>
            <w:hideMark/>
          </w:tcPr>
          <w:p w14:paraId="528D8955"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₹30,660.46</w:t>
            </w:r>
          </w:p>
        </w:tc>
        <w:tc>
          <w:tcPr>
            <w:tcW w:w="0" w:type="auto"/>
            <w:hideMark/>
          </w:tcPr>
          <w:p w14:paraId="1ADA7652"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₹20,431.24</w:t>
            </w:r>
          </w:p>
        </w:tc>
        <w:tc>
          <w:tcPr>
            <w:tcW w:w="0" w:type="auto"/>
            <w:hideMark/>
          </w:tcPr>
          <w:p w14:paraId="49F9E59B"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33.4% reduction</w:t>
            </w:r>
          </w:p>
        </w:tc>
      </w:tr>
      <w:tr w:rsidR="00552A87" w:rsidRPr="00A53AB4" w14:paraId="5AE44733"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3FE2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On-Time Completion</w:t>
            </w:r>
          </w:p>
        </w:tc>
        <w:tc>
          <w:tcPr>
            <w:tcW w:w="0" w:type="auto"/>
            <w:hideMark/>
          </w:tcPr>
          <w:p w14:paraId="2B8ADFE9"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c>
          <w:tcPr>
            <w:tcW w:w="0" w:type="auto"/>
            <w:hideMark/>
          </w:tcPr>
          <w:p w14:paraId="09BCC623"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c>
          <w:tcPr>
            <w:tcW w:w="0" w:type="auto"/>
            <w:hideMark/>
          </w:tcPr>
          <w:p w14:paraId="2A09F40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0 late jobs</w:t>
            </w:r>
          </w:p>
        </w:tc>
      </w:tr>
      <w:tr w:rsidR="00552A87" w:rsidRPr="00A53AB4" w14:paraId="3E541E69"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028C5D60"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Average Waiting Time</w:t>
            </w:r>
          </w:p>
        </w:tc>
        <w:tc>
          <w:tcPr>
            <w:tcW w:w="0" w:type="auto"/>
            <w:hideMark/>
          </w:tcPr>
          <w:p w14:paraId="5DE6EA4A"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54.6 min</w:t>
            </w:r>
          </w:p>
        </w:tc>
        <w:tc>
          <w:tcPr>
            <w:tcW w:w="0" w:type="auto"/>
            <w:hideMark/>
          </w:tcPr>
          <w:p w14:paraId="7EB6FE7C"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93.9 min</w:t>
            </w:r>
          </w:p>
        </w:tc>
        <w:tc>
          <w:tcPr>
            <w:tcW w:w="0" w:type="auto"/>
            <w:hideMark/>
          </w:tcPr>
          <w:p w14:paraId="4D4DD79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39.3 min increase</w:t>
            </w:r>
          </w:p>
        </w:tc>
      </w:tr>
    </w:tbl>
    <w:p w14:paraId="18C116D2" w14:textId="77777777" w:rsidR="007D63F6" w:rsidRPr="00A53AB4" w:rsidRDefault="007D63F6" w:rsidP="00A53AB4">
      <w:pPr>
        <w:spacing w:line="360" w:lineRule="auto"/>
        <w:jc w:val="both"/>
        <w:rPr>
          <w:rFonts w:ascii="Times New Roman" w:hAnsi="Times New Roman" w:cs="Times New Roman"/>
        </w:rPr>
      </w:pPr>
    </w:p>
    <w:p w14:paraId="3C1F6D39" w14:textId="389A7681"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reduction in energy cost is associated with forecast-driven scheduling, tariff-aware job shifting, machine assignment, peak-load considerations, and CP-SAT refinement. The increase in average waiting time reflects the intentional postponement of flexible jobs when alternative processing periods provide more favourable energy or tariff conditions.</w:t>
      </w:r>
    </w:p>
    <w:p w14:paraId="1CADFDB3"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The Hybrid CP-SAT approach therefore demonstrates a trade-off between energy performance and waiting time. Instead of processing every job as early as possible, the scheduler can allow </w:t>
      </w:r>
      <w:r w:rsidRPr="00A53AB4">
        <w:rPr>
          <w:rFonts w:ascii="Times New Roman" w:hAnsi="Times New Roman" w:cs="Times New Roman"/>
        </w:rPr>
        <w:lastRenderedPageBreak/>
        <w:t>flexible jobs to wait when this contributes to improved energy and cost performance while still satisfying the required production constraints.</w:t>
      </w:r>
    </w:p>
    <w:p w14:paraId="57F541BD" w14:textId="77777777" w:rsidR="00A53AB4" w:rsidRDefault="00A53AB4" w:rsidP="00A53AB4">
      <w:pPr>
        <w:spacing w:line="360" w:lineRule="auto"/>
        <w:jc w:val="both"/>
        <w:rPr>
          <w:rFonts w:ascii="Times New Roman" w:hAnsi="Times New Roman" w:cs="Times New Roman"/>
          <w:b/>
          <w:bCs/>
        </w:rPr>
      </w:pPr>
    </w:p>
    <w:p w14:paraId="59EA7545" w14:textId="6DFE8305"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6.3 Peak Load, Deadline and Environmental Performance</w:t>
      </w:r>
    </w:p>
    <w:p w14:paraId="12A1CF95"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Peak grid load is significantly reduced by the Hybrid CP-SAT approach. The comparison with the FCFS baseline is shown below.</w:t>
      </w:r>
    </w:p>
    <w:tbl>
      <w:tblPr>
        <w:tblStyle w:val="PlainTable1"/>
        <w:tblW w:w="0" w:type="auto"/>
        <w:tblLook w:val="04A0" w:firstRow="1" w:lastRow="0" w:firstColumn="1" w:lastColumn="0" w:noHBand="0" w:noVBand="1"/>
      </w:tblPr>
      <w:tblGrid>
        <w:gridCol w:w="2498"/>
        <w:gridCol w:w="1409"/>
        <w:gridCol w:w="2370"/>
        <w:gridCol w:w="1405"/>
      </w:tblGrid>
      <w:tr w:rsidR="00552A87" w:rsidRPr="00A53AB4" w14:paraId="2D9387BD"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52FB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Performance Measure</w:t>
            </w:r>
          </w:p>
        </w:tc>
        <w:tc>
          <w:tcPr>
            <w:tcW w:w="0" w:type="auto"/>
            <w:hideMark/>
          </w:tcPr>
          <w:p w14:paraId="302550BC"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FCFS</w:t>
            </w:r>
          </w:p>
        </w:tc>
        <w:tc>
          <w:tcPr>
            <w:tcW w:w="0" w:type="auto"/>
            <w:hideMark/>
          </w:tcPr>
          <w:p w14:paraId="2297056E"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CP-SAT Warm-Start</w:t>
            </w:r>
          </w:p>
        </w:tc>
        <w:tc>
          <w:tcPr>
            <w:tcW w:w="0" w:type="auto"/>
            <w:hideMark/>
          </w:tcPr>
          <w:p w14:paraId="16B80B3B"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Reduction</w:t>
            </w:r>
          </w:p>
        </w:tc>
      </w:tr>
      <w:tr w:rsidR="00552A87" w:rsidRPr="00A53AB4" w14:paraId="1A05094C"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B2512"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Peak Grid Load</w:t>
            </w:r>
          </w:p>
        </w:tc>
        <w:tc>
          <w:tcPr>
            <w:tcW w:w="0" w:type="auto"/>
            <w:hideMark/>
          </w:tcPr>
          <w:p w14:paraId="7F59DAF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784.48 kW</w:t>
            </w:r>
          </w:p>
        </w:tc>
        <w:tc>
          <w:tcPr>
            <w:tcW w:w="0" w:type="auto"/>
            <w:hideMark/>
          </w:tcPr>
          <w:p w14:paraId="3532DF46"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491.58 kW</w:t>
            </w:r>
          </w:p>
        </w:tc>
        <w:tc>
          <w:tcPr>
            <w:tcW w:w="0" w:type="auto"/>
            <w:hideMark/>
          </w:tcPr>
          <w:p w14:paraId="7BAC3F4B"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37.3%</w:t>
            </w:r>
          </w:p>
        </w:tc>
      </w:tr>
      <w:tr w:rsidR="00552A87" w:rsidRPr="00A53AB4" w14:paraId="22EC601F"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4E42758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Carbon Emissions</w:t>
            </w:r>
          </w:p>
        </w:tc>
        <w:tc>
          <w:tcPr>
            <w:tcW w:w="0" w:type="auto"/>
            <w:hideMark/>
          </w:tcPr>
          <w:p w14:paraId="66A4DDB1"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735.87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5DD9BAF9"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558.80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04E6BCF9"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24.1%</w:t>
            </w:r>
          </w:p>
        </w:tc>
      </w:tr>
      <w:tr w:rsidR="00552A87" w:rsidRPr="00A53AB4" w14:paraId="568FED0F"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398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Power Factor Penalty</w:t>
            </w:r>
          </w:p>
        </w:tc>
        <w:tc>
          <w:tcPr>
            <w:tcW w:w="0" w:type="auto"/>
            <w:hideMark/>
          </w:tcPr>
          <w:p w14:paraId="121D1AEA"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₹30,660.46</w:t>
            </w:r>
          </w:p>
        </w:tc>
        <w:tc>
          <w:tcPr>
            <w:tcW w:w="0" w:type="auto"/>
            <w:hideMark/>
          </w:tcPr>
          <w:p w14:paraId="019E2F12"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₹20,431.24</w:t>
            </w:r>
          </w:p>
        </w:tc>
        <w:tc>
          <w:tcPr>
            <w:tcW w:w="0" w:type="auto"/>
            <w:hideMark/>
          </w:tcPr>
          <w:p w14:paraId="2C807186"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33.4%</w:t>
            </w:r>
          </w:p>
        </w:tc>
      </w:tr>
      <w:tr w:rsidR="00552A87" w:rsidRPr="00A53AB4" w14:paraId="1CC2556F"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A863373"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On-Time Completion</w:t>
            </w:r>
          </w:p>
        </w:tc>
        <w:tc>
          <w:tcPr>
            <w:tcW w:w="0" w:type="auto"/>
            <w:hideMark/>
          </w:tcPr>
          <w:p w14:paraId="3970A09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c>
          <w:tcPr>
            <w:tcW w:w="0" w:type="auto"/>
            <w:hideMark/>
          </w:tcPr>
          <w:p w14:paraId="30CD8438"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c>
          <w:tcPr>
            <w:tcW w:w="0" w:type="auto"/>
            <w:hideMark/>
          </w:tcPr>
          <w:p w14:paraId="57561722"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0 late jobs</w:t>
            </w:r>
          </w:p>
        </w:tc>
      </w:tr>
      <w:tr w:rsidR="00552A87" w:rsidRPr="00A53AB4" w14:paraId="322C2714"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4543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Late Jobs</w:t>
            </w:r>
          </w:p>
        </w:tc>
        <w:tc>
          <w:tcPr>
            <w:tcW w:w="0" w:type="auto"/>
            <w:hideMark/>
          </w:tcPr>
          <w:p w14:paraId="4C30D552"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w:t>
            </w:r>
          </w:p>
        </w:tc>
        <w:tc>
          <w:tcPr>
            <w:tcW w:w="0" w:type="auto"/>
            <w:hideMark/>
          </w:tcPr>
          <w:p w14:paraId="08747BDD"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0</w:t>
            </w:r>
          </w:p>
        </w:tc>
        <w:tc>
          <w:tcPr>
            <w:tcW w:w="0" w:type="auto"/>
            <w:hideMark/>
          </w:tcPr>
          <w:p w14:paraId="77C0954A"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No increase</w:t>
            </w:r>
          </w:p>
        </w:tc>
      </w:tr>
    </w:tbl>
    <w:p w14:paraId="60A68185" w14:textId="77777777" w:rsidR="005643CC" w:rsidRDefault="005643CC" w:rsidP="00A53AB4">
      <w:pPr>
        <w:spacing w:line="360" w:lineRule="auto"/>
        <w:jc w:val="both"/>
        <w:rPr>
          <w:rFonts w:ascii="Times New Roman" w:hAnsi="Times New Roman" w:cs="Times New Roman"/>
        </w:rPr>
      </w:pPr>
    </w:p>
    <w:p w14:paraId="62E3F305" w14:textId="1AD46154"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reduction in peak grid load indicates that the Hybrid CP-SAT approach can distribute machine operations more effectively and reduce simultaneous high-power machine activity. The carbon-emission reduction also demonstrates the environmental benefit associated with the energy-aware scheduling strategy.</w:t>
      </w:r>
    </w:p>
    <w:p w14:paraId="5DEEEEF7"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All jobs in the Hybrid CP-SAT benchmark are completed on time. This is particularly important because energy-aware scheduling may intentionally delay flexible jobs. The results show that the additional scheduling flexibility does not result in deadline violations for the Hybrid approach.</w:t>
      </w:r>
    </w:p>
    <w:p w14:paraId="32526601"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comparison between the two CP-SAT configurations further demonstrates the importance of warm-starting.</w:t>
      </w:r>
    </w:p>
    <w:tbl>
      <w:tblPr>
        <w:tblStyle w:val="PlainTable1"/>
        <w:tblW w:w="0" w:type="auto"/>
        <w:tblLook w:val="04A0" w:firstRow="1" w:lastRow="0" w:firstColumn="1" w:lastColumn="0" w:noHBand="0" w:noVBand="1"/>
      </w:tblPr>
      <w:tblGrid>
        <w:gridCol w:w="2539"/>
        <w:gridCol w:w="2370"/>
        <w:gridCol w:w="2214"/>
      </w:tblGrid>
      <w:tr w:rsidR="00552A87" w:rsidRPr="00A53AB4" w14:paraId="1EF93BAB"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FF9E6"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Metric</w:t>
            </w:r>
          </w:p>
        </w:tc>
        <w:tc>
          <w:tcPr>
            <w:tcW w:w="0" w:type="auto"/>
            <w:hideMark/>
          </w:tcPr>
          <w:p w14:paraId="4BC2B59C"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CP-SAT Warm-Start</w:t>
            </w:r>
          </w:p>
        </w:tc>
        <w:tc>
          <w:tcPr>
            <w:tcW w:w="0" w:type="auto"/>
            <w:hideMark/>
          </w:tcPr>
          <w:p w14:paraId="07BDFF56"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CP-SAT Cold-Start</w:t>
            </w:r>
          </w:p>
        </w:tc>
      </w:tr>
      <w:tr w:rsidR="00552A87" w:rsidRPr="00A53AB4" w14:paraId="2F5B5584"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2D62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Cost</w:t>
            </w:r>
          </w:p>
        </w:tc>
        <w:tc>
          <w:tcPr>
            <w:tcW w:w="0" w:type="auto"/>
            <w:hideMark/>
          </w:tcPr>
          <w:p w14:paraId="028E778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₹127,254.28</w:t>
            </w:r>
          </w:p>
        </w:tc>
        <w:tc>
          <w:tcPr>
            <w:tcW w:w="0" w:type="auto"/>
            <w:hideMark/>
          </w:tcPr>
          <w:p w14:paraId="2E8B4178"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₹88,827.30</w:t>
            </w:r>
          </w:p>
        </w:tc>
      </w:tr>
      <w:tr w:rsidR="00552A87" w:rsidRPr="00A53AB4" w14:paraId="7866D622"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5DEC66EB"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Peak Grid Load</w:t>
            </w:r>
          </w:p>
        </w:tc>
        <w:tc>
          <w:tcPr>
            <w:tcW w:w="0" w:type="auto"/>
            <w:hideMark/>
          </w:tcPr>
          <w:p w14:paraId="5135278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491.58 kW</w:t>
            </w:r>
          </w:p>
        </w:tc>
        <w:tc>
          <w:tcPr>
            <w:tcW w:w="0" w:type="auto"/>
            <w:hideMark/>
          </w:tcPr>
          <w:p w14:paraId="7F3A3DEE"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153.43 kW</w:t>
            </w:r>
          </w:p>
        </w:tc>
      </w:tr>
      <w:tr w:rsidR="00552A87" w:rsidRPr="00A53AB4" w14:paraId="4EB2AF8E"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1CE2A"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Carbon Emissions</w:t>
            </w:r>
          </w:p>
        </w:tc>
        <w:tc>
          <w:tcPr>
            <w:tcW w:w="0" w:type="auto"/>
            <w:hideMark/>
          </w:tcPr>
          <w:p w14:paraId="3DBEE5D1"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558.80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5F83647B"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672.47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r>
      <w:tr w:rsidR="00552A87" w:rsidRPr="00A53AB4" w14:paraId="3475B1D2"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3805B181"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On-Time Completion</w:t>
            </w:r>
          </w:p>
        </w:tc>
        <w:tc>
          <w:tcPr>
            <w:tcW w:w="0" w:type="auto"/>
            <w:hideMark/>
          </w:tcPr>
          <w:p w14:paraId="4D777050"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100.0%</w:t>
            </w:r>
          </w:p>
        </w:tc>
        <w:tc>
          <w:tcPr>
            <w:tcW w:w="0" w:type="auto"/>
            <w:hideMark/>
          </w:tcPr>
          <w:p w14:paraId="7A1C8DB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93.2%</w:t>
            </w:r>
          </w:p>
        </w:tc>
      </w:tr>
      <w:tr w:rsidR="00552A87" w:rsidRPr="00A53AB4" w14:paraId="747E958C"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3A75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Late Jobs per Instance</w:t>
            </w:r>
          </w:p>
        </w:tc>
        <w:tc>
          <w:tcPr>
            <w:tcW w:w="0" w:type="auto"/>
            <w:hideMark/>
          </w:tcPr>
          <w:p w14:paraId="32A8B86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0.0</w:t>
            </w:r>
          </w:p>
        </w:tc>
        <w:tc>
          <w:tcPr>
            <w:tcW w:w="0" w:type="auto"/>
            <w:hideMark/>
          </w:tcPr>
          <w:p w14:paraId="0DB85AC3"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12.25</w:t>
            </w:r>
          </w:p>
        </w:tc>
      </w:tr>
      <w:tr w:rsidR="00552A87" w:rsidRPr="00A53AB4" w14:paraId="1ECA218C"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373C0A3B"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Average Delay</w:t>
            </w:r>
          </w:p>
        </w:tc>
        <w:tc>
          <w:tcPr>
            <w:tcW w:w="0" w:type="auto"/>
            <w:hideMark/>
          </w:tcPr>
          <w:p w14:paraId="1561425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w:t>
            </w:r>
          </w:p>
        </w:tc>
        <w:tc>
          <w:tcPr>
            <w:tcW w:w="0" w:type="auto"/>
            <w:hideMark/>
          </w:tcPr>
          <w:p w14:paraId="4F3AD35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445 min</w:t>
            </w:r>
          </w:p>
        </w:tc>
      </w:tr>
    </w:tbl>
    <w:p w14:paraId="65ABDE48" w14:textId="77777777" w:rsidR="005643CC" w:rsidRDefault="005643CC" w:rsidP="00A53AB4">
      <w:pPr>
        <w:spacing w:line="360" w:lineRule="auto"/>
        <w:jc w:val="both"/>
        <w:rPr>
          <w:rFonts w:ascii="Times New Roman" w:hAnsi="Times New Roman" w:cs="Times New Roman"/>
        </w:rPr>
      </w:pPr>
    </w:p>
    <w:p w14:paraId="4B75BE24" w14:textId="6EC3B962"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 xml:space="preserve">Although CP-SAT Cold-Start achieves lower </w:t>
      </w:r>
      <w:proofErr w:type="spellStart"/>
      <w:r w:rsidRPr="00A53AB4">
        <w:rPr>
          <w:rFonts w:ascii="Times New Roman" w:hAnsi="Times New Roman" w:cs="Times New Roman"/>
        </w:rPr>
        <w:t>modeled</w:t>
      </w:r>
      <w:proofErr w:type="spellEnd"/>
      <w:r w:rsidRPr="00A53AB4">
        <w:rPr>
          <w:rFonts w:ascii="Times New Roman" w:hAnsi="Times New Roman" w:cs="Times New Roman"/>
        </w:rPr>
        <w:t xml:space="preserve"> energy cost and peak load, it performs poorly in terms of deadline compliance. It produces only 93.2% on-time completion, with an average of 12.25 late jobs and 445 minutes of delay per instance. The Hybrid Warm-Start approach maintains 100% on-time completion while achieving substantial energy and peak-load reductions. This demonstrates the importance of providing CP-SAT with a feasible FD-PDTS Robust warm-start solution.</w:t>
      </w:r>
    </w:p>
    <w:p w14:paraId="3654F7B9" w14:textId="77777777" w:rsidR="00A53AB4" w:rsidRDefault="00A53AB4" w:rsidP="00A53AB4">
      <w:pPr>
        <w:spacing w:line="360" w:lineRule="auto"/>
        <w:jc w:val="both"/>
        <w:rPr>
          <w:rFonts w:ascii="Times New Roman" w:hAnsi="Times New Roman" w:cs="Times New Roman"/>
          <w:b/>
          <w:bCs/>
        </w:rPr>
      </w:pPr>
    </w:p>
    <w:p w14:paraId="7F0C5373" w14:textId="76E7D14A"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6.4 Overall Comparison and Interpretation</w:t>
      </w:r>
    </w:p>
    <w:p w14:paraId="16EA63F5"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benchmark results demonstrate that conventional production-oriented scheduling and energy-aware scheduling produce different performance characteristics. FCFS, EDD, and other baseline approaches generally maintain strong deadline compliance but do not explicitly optimize the energy and tariff dimensions. FD-PDTS improves energy-related performance by incorporating forecast information and tariff-aware scheduling, while the Hybrid CP-SAT approach further refines the schedule under manufacturing constraints.</w:t>
      </w:r>
    </w:p>
    <w:p w14:paraId="767C72EC" w14:textId="77777777" w:rsidR="005643CC" w:rsidRDefault="005643CC" w:rsidP="00A53AB4">
      <w:pPr>
        <w:spacing w:line="360" w:lineRule="auto"/>
        <w:jc w:val="both"/>
        <w:rPr>
          <w:rFonts w:ascii="Times New Roman" w:hAnsi="Times New Roman" w:cs="Times New Roman"/>
        </w:rPr>
      </w:pPr>
    </w:p>
    <w:p w14:paraId="3909672D" w14:textId="70C952DA"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overall improvement of the Hybrid CP-SAT approach relative to FCFS is summarized below.</w:t>
      </w:r>
    </w:p>
    <w:tbl>
      <w:tblPr>
        <w:tblStyle w:val="PlainTable1"/>
        <w:tblW w:w="0" w:type="auto"/>
        <w:tblLook w:val="04A0" w:firstRow="1" w:lastRow="0" w:firstColumn="1" w:lastColumn="0" w:noHBand="0" w:noVBand="1"/>
      </w:tblPr>
      <w:tblGrid>
        <w:gridCol w:w="2505"/>
        <w:gridCol w:w="1730"/>
        <w:gridCol w:w="1872"/>
        <w:gridCol w:w="2445"/>
      </w:tblGrid>
      <w:tr w:rsidR="00552A87" w:rsidRPr="00A53AB4" w14:paraId="099764C5" w14:textId="77777777" w:rsidTr="00552A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7F387"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KPI</w:t>
            </w:r>
          </w:p>
        </w:tc>
        <w:tc>
          <w:tcPr>
            <w:tcW w:w="0" w:type="auto"/>
            <w:hideMark/>
          </w:tcPr>
          <w:p w14:paraId="69D65523"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FCFS Baseline</w:t>
            </w:r>
          </w:p>
        </w:tc>
        <w:tc>
          <w:tcPr>
            <w:tcW w:w="0" w:type="auto"/>
            <w:hideMark/>
          </w:tcPr>
          <w:p w14:paraId="5E8D0A69"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Hybrid CP-SAT</w:t>
            </w:r>
          </w:p>
        </w:tc>
        <w:tc>
          <w:tcPr>
            <w:tcW w:w="0" w:type="auto"/>
            <w:hideMark/>
          </w:tcPr>
          <w:p w14:paraId="63D55128" w14:textId="77777777" w:rsidR="00552A87" w:rsidRPr="00A53AB4" w:rsidRDefault="00552A87" w:rsidP="00A53AB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Overall Improvement</w:t>
            </w:r>
          </w:p>
        </w:tc>
      </w:tr>
      <w:tr w:rsidR="00552A87" w:rsidRPr="00A53AB4" w14:paraId="1A4A73C1"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18900"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Energy Cost</w:t>
            </w:r>
          </w:p>
        </w:tc>
        <w:tc>
          <w:tcPr>
            <w:tcW w:w="0" w:type="auto"/>
            <w:hideMark/>
          </w:tcPr>
          <w:p w14:paraId="25F177A7"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₹187,371.53</w:t>
            </w:r>
          </w:p>
        </w:tc>
        <w:tc>
          <w:tcPr>
            <w:tcW w:w="0" w:type="auto"/>
            <w:hideMark/>
          </w:tcPr>
          <w:p w14:paraId="3B88136A"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₹127,254.28</w:t>
            </w:r>
          </w:p>
        </w:tc>
        <w:tc>
          <w:tcPr>
            <w:tcW w:w="0" w:type="auto"/>
            <w:hideMark/>
          </w:tcPr>
          <w:p w14:paraId="6E5DA9DD"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32.1% lower</w:t>
            </w:r>
          </w:p>
        </w:tc>
      </w:tr>
      <w:tr w:rsidR="00552A87" w:rsidRPr="00A53AB4" w14:paraId="2B9B70BF"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35477F51"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Peak Grid Load</w:t>
            </w:r>
          </w:p>
        </w:tc>
        <w:tc>
          <w:tcPr>
            <w:tcW w:w="0" w:type="auto"/>
            <w:hideMark/>
          </w:tcPr>
          <w:p w14:paraId="12EC15DA"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784.48 kW</w:t>
            </w:r>
          </w:p>
        </w:tc>
        <w:tc>
          <w:tcPr>
            <w:tcW w:w="0" w:type="auto"/>
            <w:hideMark/>
          </w:tcPr>
          <w:p w14:paraId="060F145B"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491.58 kW</w:t>
            </w:r>
          </w:p>
        </w:tc>
        <w:tc>
          <w:tcPr>
            <w:tcW w:w="0" w:type="auto"/>
            <w:hideMark/>
          </w:tcPr>
          <w:p w14:paraId="0B8C9777"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37.3% lower</w:t>
            </w:r>
          </w:p>
        </w:tc>
      </w:tr>
      <w:tr w:rsidR="00552A87" w:rsidRPr="00A53AB4" w14:paraId="48F7A95E"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111ED"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Carbon Emissions</w:t>
            </w:r>
          </w:p>
        </w:tc>
        <w:tc>
          <w:tcPr>
            <w:tcW w:w="0" w:type="auto"/>
            <w:hideMark/>
          </w:tcPr>
          <w:p w14:paraId="2C596FF7"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735.87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7E29196A"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 xml:space="preserve">558.80 </w:t>
            </w:r>
            <w:proofErr w:type="spellStart"/>
            <w:r w:rsidRPr="00A53AB4">
              <w:rPr>
                <w:rFonts w:ascii="Times New Roman" w:hAnsi="Times New Roman" w:cs="Times New Roman"/>
              </w:rPr>
              <w:t>tCO</w:t>
            </w:r>
            <w:proofErr w:type="spellEnd"/>
            <w:r w:rsidRPr="00A53AB4">
              <w:rPr>
                <w:rFonts w:ascii="Times New Roman" w:hAnsi="Times New Roman" w:cs="Times New Roman"/>
              </w:rPr>
              <w:t>₂</w:t>
            </w:r>
          </w:p>
        </w:tc>
        <w:tc>
          <w:tcPr>
            <w:tcW w:w="0" w:type="auto"/>
            <w:hideMark/>
          </w:tcPr>
          <w:p w14:paraId="09C0EAAD"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24.1% lower</w:t>
            </w:r>
          </w:p>
        </w:tc>
      </w:tr>
      <w:tr w:rsidR="00552A87" w:rsidRPr="00A53AB4" w14:paraId="42C8C10D"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60294FAA"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Power Factor Penalty</w:t>
            </w:r>
          </w:p>
        </w:tc>
        <w:tc>
          <w:tcPr>
            <w:tcW w:w="0" w:type="auto"/>
            <w:hideMark/>
          </w:tcPr>
          <w:p w14:paraId="2BE228C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₹30,660.46</w:t>
            </w:r>
          </w:p>
        </w:tc>
        <w:tc>
          <w:tcPr>
            <w:tcW w:w="0" w:type="auto"/>
            <w:hideMark/>
          </w:tcPr>
          <w:p w14:paraId="1E42B249"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₹20,431.24</w:t>
            </w:r>
          </w:p>
        </w:tc>
        <w:tc>
          <w:tcPr>
            <w:tcW w:w="0" w:type="auto"/>
            <w:hideMark/>
          </w:tcPr>
          <w:p w14:paraId="7FBE4E2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33.4% lower</w:t>
            </w:r>
          </w:p>
        </w:tc>
      </w:tr>
      <w:tr w:rsidR="00552A87" w:rsidRPr="00A53AB4" w14:paraId="746C5674" w14:textId="77777777" w:rsidTr="00552A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2E0DF"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lastRenderedPageBreak/>
              <w:t>On-Time Completion</w:t>
            </w:r>
          </w:p>
        </w:tc>
        <w:tc>
          <w:tcPr>
            <w:tcW w:w="0" w:type="auto"/>
            <w:hideMark/>
          </w:tcPr>
          <w:p w14:paraId="459999FC"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c>
          <w:tcPr>
            <w:tcW w:w="0" w:type="auto"/>
            <w:hideMark/>
          </w:tcPr>
          <w:p w14:paraId="30B5439F"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100.0%</w:t>
            </w:r>
          </w:p>
        </w:tc>
        <w:tc>
          <w:tcPr>
            <w:tcW w:w="0" w:type="auto"/>
            <w:hideMark/>
          </w:tcPr>
          <w:p w14:paraId="34EFF3E5" w14:textId="77777777" w:rsidR="00552A87" w:rsidRPr="00A53AB4" w:rsidRDefault="00552A87" w:rsidP="00A53AB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Maintained</w:t>
            </w:r>
          </w:p>
        </w:tc>
      </w:tr>
      <w:tr w:rsidR="00552A87" w:rsidRPr="00A53AB4" w14:paraId="34CE434A" w14:textId="77777777" w:rsidTr="00552A87">
        <w:tc>
          <w:tcPr>
            <w:cnfStyle w:val="001000000000" w:firstRow="0" w:lastRow="0" w:firstColumn="1" w:lastColumn="0" w:oddVBand="0" w:evenVBand="0" w:oddHBand="0" w:evenHBand="0" w:firstRowFirstColumn="0" w:firstRowLastColumn="0" w:lastRowFirstColumn="0" w:lastRowLastColumn="0"/>
            <w:tcW w:w="0" w:type="auto"/>
            <w:hideMark/>
          </w:tcPr>
          <w:p w14:paraId="7B3D9E2B" w14:textId="77777777" w:rsidR="00552A87" w:rsidRPr="00A53AB4" w:rsidRDefault="00552A87" w:rsidP="00A53AB4">
            <w:pPr>
              <w:spacing w:after="160" w:line="360" w:lineRule="auto"/>
              <w:jc w:val="both"/>
              <w:rPr>
                <w:rFonts w:ascii="Times New Roman" w:hAnsi="Times New Roman" w:cs="Times New Roman"/>
              </w:rPr>
            </w:pPr>
            <w:r w:rsidRPr="00A53AB4">
              <w:rPr>
                <w:rFonts w:ascii="Times New Roman" w:hAnsi="Times New Roman" w:cs="Times New Roman"/>
              </w:rPr>
              <w:t>Average Waiting Time</w:t>
            </w:r>
          </w:p>
        </w:tc>
        <w:tc>
          <w:tcPr>
            <w:tcW w:w="0" w:type="auto"/>
            <w:hideMark/>
          </w:tcPr>
          <w:p w14:paraId="05E9C58B"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54.6 min</w:t>
            </w:r>
          </w:p>
        </w:tc>
        <w:tc>
          <w:tcPr>
            <w:tcW w:w="0" w:type="auto"/>
            <w:hideMark/>
          </w:tcPr>
          <w:p w14:paraId="744C2AF4"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rPr>
              <w:t>93.9 min</w:t>
            </w:r>
          </w:p>
        </w:tc>
        <w:tc>
          <w:tcPr>
            <w:tcW w:w="0" w:type="auto"/>
            <w:hideMark/>
          </w:tcPr>
          <w:p w14:paraId="2918BB18" w14:textId="77777777" w:rsidR="00552A87" w:rsidRPr="00A53AB4" w:rsidRDefault="00552A87" w:rsidP="00A53AB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3AB4">
              <w:rPr>
                <w:rFonts w:ascii="Times New Roman" w:hAnsi="Times New Roman" w:cs="Times New Roman"/>
                <w:b/>
                <w:bCs/>
              </w:rPr>
              <w:t>Higher by 39.3 min</w:t>
            </w:r>
          </w:p>
        </w:tc>
      </w:tr>
    </w:tbl>
    <w:p w14:paraId="537B4C21" w14:textId="77777777" w:rsidR="005643CC" w:rsidRDefault="005643CC" w:rsidP="00A53AB4">
      <w:pPr>
        <w:spacing w:line="360" w:lineRule="auto"/>
        <w:jc w:val="both"/>
        <w:rPr>
          <w:rFonts w:ascii="Times New Roman" w:hAnsi="Times New Roman" w:cs="Times New Roman"/>
        </w:rPr>
      </w:pPr>
    </w:p>
    <w:p w14:paraId="67F830DE" w14:textId="0D7B6FC3"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These results indicate that the proposed framework can achieve substantial improvements in energy and environmental performance without sacrificing deadline compliance in the evaluated benchmark. The main trade-off is increased waiting time, as flexible jobs can be intentionally shifted away from expensive or high-load periods.</w:t>
      </w:r>
    </w:p>
    <w:p w14:paraId="5ACFCBC6" w14:textId="77777777" w:rsidR="005643CC" w:rsidRDefault="005643CC" w:rsidP="00A53AB4">
      <w:pPr>
        <w:spacing w:line="360" w:lineRule="auto"/>
        <w:jc w:val="both"/>
        <w:rPr>
          <w:rFonts w:ascii="Times New Roman" w:hAnsi="Times New Roman" w:cs="Times New Roman"/>
          <w:b/>
          <w:bCs/>
        </w:rPr>
      </w:pPr>
    </w:p>
    <w:p w14:paraId="37779D53" w14:textId="3C2461FC"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t>6.5 Dashboard and Visualization</w:t>
      </w:r>
    </w:p>
    <w:p w14:paraId="02DB497B"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developed dashboard provides an interactive representation of the forecasting, scheduling, and KPI results. It presents scorecards for major performance indicators and provides visual comparisons between scheduling algorithms. The dashboard also includes machine-wise Gantt charts and a 48-hour multi-quantile energy forecast with tariff-period information.</w:t>
      </w:r>
    </w:p>
    <w:p w14:paraId="494F87B8" w14:textId="4B33888F"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drawing>
          <wp:inline distT="0" distB="0" distL="0" distR="0" wp14:anchorId="130ABD47" wp14:editId="048C162D">
            <wp:extent cx="5731510" cy="1993265"/>
            <wp:effectExtent l="0" t="0" r="2540" b="6985"/>
            <wp:docPr id="86028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4775" name=""/>
                    <pic:cNvPicPr/>
                  </pic:nvPicPr>
                  <pic:blipFill>
                    <a:blip r:embed="rId11"/>
                    <a:stretch>
                      <a:fillRect/>
                    </a:stretch>
                  </pic:blipFill>
                  <pic:spPr>
                    <a:xfrm>
                      <a:off x="0" y="0"/>
                      <a:ext cx="5731510" cy="1993265"/>
                    </a:xfrm>
                    <a:prstGeom prst="rect">
                      <a:avLst/>
                    </a:prstGeom>
                  </pic:spPr>
                </pic:pic>
              </a:graphicData>
            </a:graphic>
          </wp:inline>
        </w:drawing>
      </w:r>
    </w:p>
    <w:p w14:paraId="3C1B44E0" w14:textId="6808289E"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drawing>
          <wp:inline distT="0" distB="0" distL="0" distR="0" wp14:anchorId="1C0B14EF" wp14:editId="37E22342">
            <wp:extent cx="5731510" cy="2261235"/>
            <wp:effectExtent l="0" t="0" r="2540" b="5715"/>
            <wp:docPr id="47717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71597" name=""/>
                    <pic:cNvPicPr/>
                  </pic:nvPicPr>
                  <pic:blipFill>
                    <a:blip r:embed="rId12"/>
                    <a:stretch>
                      <a:fillRect/>
                    </a:stretch>
                  </pic:blipFill>
                  <pic:spPr>
                    <a:xfrm>
                      <a:off x="0" y="0"/>
                      <a:ext cx="5731510" cy="2261235"/>
                    </a:xfrm>
                    <a:prstGeom prst="rect">
                      <a:avLst/>
                    </a:prstGeom>
                  </pic:spPr>
                </pic:pic>
              </a:graphicData>
            </a:graphic>
          </wp:inline>
        </w:drawing>
      </w:r>
    </w:p>
    <w:p w14:paraId="2D88E945" w14:textId="069CD2CC" w:rsidR="00552A87" w:rsidRPr="00A53AB4" w:rsidRDefault="00552A87" w:rsidP="00A53AB4">
      <w:pPr>
        <w:spacing w:line="360" w:lineRule="auto"/>
        <w:jc w:val="both"/>
        <w:rPr>
          <w:rFonts w:ascii="Times New Roman" w:hAnsi="Times New Roman" w:cs="Times New Roman"/>
          <w:b/>
          <w:bCs/>
        </w:rPr>
      </w:pPr>
      <w:r w:rsidRPr="00A53AB4">
        <w:rPr>
          <w:rFonts w:ascii="Times New Roman" w:hAnsi="Times New Roman" w:cs="Times New Roman"/>
          <w:b/>
          <w:bCs/>
        </w:rPr>
        <w:lastRenderedPageBreak/>
        <w:t>6.6 Result Limitations</w:t>
      </w:r>
    </w:p>
    <w:p w14:paraId="7869BE9A"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results should be interpreted within the scope of the current research prototype. The scheduling evaluation uses synthetic manufacturing instances rather than real job-level production records from the industrial SCADA dataset. The benchmark also deliberately uses a peak-biased arrival distribution, with approximately 70–80% of job arrivals occurring during Maximum-Load tariff periods. This creates an appropriate test environment for evaluating tariff-aware scheduling, but it may also favour approaches capable of shifting flexible jobs away from peak periods.</w:t>
      </w:r>
    </w:p>
    <w:p w14:paraId="0BC1FF2D" w14:textId="77777777" w:rsidR="00552A87" w:rsidRPr="00A53AB4" w:rsidRDefault="00552A87" w:rsidP="00A53AB4">
      <w:pPr>
        <w:spacing w:line="360" w:lineRule="auto"/>
        <w:jc w:val="both"/>
        <w:rPr>
          <w:rFonts w:ascii="Times New Roman" w:hAnsi="Times New Roman" w:cs="Times New Roman"/>
        </w:rPr>
      </w:pPr>
      <w:r w:rsidRPr="00A53AB4">
        <w:rPr>
          <w:rFonts w:ascii="Times New Roman" w:hAnsi="Times New Roman" w:cs="Times New Roman"/>
        </w:rPr>
        <w:t>The forecasting and scheduling results therefore demonstrate the behaviour of the implemented framework under the defined experimental conditions rather than establishing universal performance across all manufacturing environments. The project uses 20 independent benchmark seeds to improve the reliability of the evaluation, while the current implementation also documents several v2 improvements, including quantile non-crossing, power-factor rescaling, recursive forecasting updates, differentiated scheduling algorithms, and multi-seed validation.</w:t>
      </w:r>
    </w:p>
    <w:p w14:paraId="1849BC77" w14:textId="77777777" w:rsidR="0060417E" w:rsidRPr="00A53AB4" w:rsidRDefault="0060417E" w:rsidP="00A53AB4">
      <w:pPr>
        <w:spacing w:line="360" w:lineRule="auto"/>
        <w:jc w:val="both"/>
        <w:rPr>
          <w:rFonts w:ascii="Times New Roman" w:hAnsi="Times New Roman" w:cs="Times New Roman"/>
        </w:rPr>
      </w:pPr>
    </w:p>
    <w:sectPr w:rsidR="0060417E" w:rsidRPr="00A53AB4" w:rsidSect="00203ABC">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C4C6" w14:textId="77777777" w:rsidR="00ED7ECD" w:rsidRDefault="00ED7ECD" w:rsidP="001C5A39">
      <w:pPr>
        <w:spacing w:after="0" w:line="240" w:lineRule="auto"/>
      </w:pPr>
      <w:r>
        <w:separator/>
      </w:r>
    </w:p>
  </w:endnote>
  <w:endnote w:type="continuationSeparator" w:id="0">
    <w:p w14:paraId="12994E1C" w14:textId="77777777" w:rsidR="00ED7ECD" w:rsidRDefault="00ED7ECD" w:rsidP="001C5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599569"/>
      <w:docPartObj>
        <w:docPartGallery w:val="Page Numbers (Bottom of Page)"/>
        <w:docPartUnique/>
      </w:docPartObj>
    </w:sdtPr>
    <w:sdtEndPr>
      <w:rPr>
        <w:noProof/>
      </w:rPr>
    </w:sdtEndPr>
    <w:sdtContent>
      <w:p w14:paraId="3E65C77E" w14:textId="3DDAB3C7" w:rsidR="001C5A39" w:rsidRDefault="001C5A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757DFE" w14:textId="77777777" w:rsidR="001C5A39" w:rsidRDefault="001C5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83109" w14:textId="77777777" w:rsidR="00ED7ECD" w:rsidRDefault="00ED7ECD" w:rsidP="001C5A39">
      <w:pPr>
        <w:spacing w:after="0" w:line="240" w:lineRule="auto"/>
      </w:pPr>
      <w:r>
        <w:separator/>
      </w:r>
    </w:p>
  </w:footnote>
  <w:footnote w:type="continuationSeparator" w:id="0">
    <w:p w14:paraId="7965E9FA" w14:textId="77777777" w:rsidR="00ED7ECD" w:rsidRDefault="00ED7ECD" w:rsidP="001C5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55A43"/>
    <w:multiLevelType w:val="multilevel"/>
    <w:tmpl w:val="EBE8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D0346"/>
    <w:multiLevelType w:val="multilevel"/>
    <w:tmpl w:val="6AAE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86250"/>
    <w:multiLevelType w:val="multilevel"/>
    <w:tmpl w:val="D28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A5AAF"/>
    <w:multiLevelType w:val="multilevel"/>
    <w:tmpl w:val="6D2A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D2538"/>
    <w:multiLevelType w:val="multilevel"/>
    <w:tmpl w:val="430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F73D6"/>
    <w:multiLevelType w:val="multilevel"/>
    <w:tmpl w:val="508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609E5"/>
    <w:multiLevelType w:val="multilevel"/>
    <w:tmpl w:val="A392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94E7C"/>
    <w:multiLevelType w:val="multilevel"/>
    <w:tmpl w:val="430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160522">
    <w:abstractNumId w:val="5"/>
  </w:num>
  <w:num w:numId="2" w16cid:durableId="377095094">
    <w:abstractNumId w:val="1"/>
  </w:num>
  <w:num w:numId="3" w16cid:durableId="2003965055">
    <w:abstractNumId w:val="0"/>
  </w:num>
  <w:num w:numId="4" w16cid:durableId="213006439">
    <w:abstractNumId w:val="2"/>
  </w:num>
  <w:num w:numId="5" w16cid:durableId="1547257596">
    <w:abstractNumId w:val="6"/>
  </w:num>
  <w:num w:numId="6" w16cid:durableId="915744348">
    <w:abstractNumId w:val="4"/>
  </w:num>
  <w:num w:numId="7" w16cid:durableId="594827144">
    <w:abstractNumId w:val="3"/>
  </w:num>
  <w:num w:numId="8" w16cid:durableId="99622428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3BE"/>
    <w:rsid w:val="000D4F78"/>
    <w:rsid w:val="00124450"/>
    <w:rsid w:val="001C5A39"/>
    <w:rsid w:val="00203ABC"/>
    <w:rsid w:val="00223942"/>
    <w:rsid w:val="0024527E"/>
    <w:rsid w:val="0029072A"/>
    <w:rsid w:val="004677BD"/>
    <w:rsid w:val="00510BC2"/>
    <w:rsid w:val="00523F23"/>
    <w:rsid w:val="00552A87"/>
    <w:rsid w:val="005643CC"/>
    <w:rsid w:val="005C2323"/>
    <w:rsid w:val="005C6ECD"/>
    <w:rsid w:val="0060417E"/>
    <w:rsid w:val="007D63F6"/>
    <w:rsid w:val="007E393D"/>
    <w:rsid w:val="008321C1"/>
    <w:rsid w:val="008A73BE"/>
    <w:rsid w:val="00A258B7"/>
    <w:rsid w:val="00A52213"/>
    <w:rsid w:val="00A536F7"/>
    <w:rsid w:val="00A53AB4"/>
    <w:rsid w:val="00B178DE"/>
    <w:rsid w:val="00D066A2"/>
    <w:rsid w:val="00D94902"/>
    <w:rsid w:val="00DB4454"/>
    <w:rsid w:val="00E844D5"/>
    <w:rsid w:val="00EC6468"/>
    <w:rsid w:val="00ED7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714C"/>
  <w15:chartTrackingRefBased/>
  <w15:docId w15:val="{E8B93C1B-B0A9-4F10-B35D-0E9EB7D3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3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73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73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A73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3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3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73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73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A7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3BE"/>
    <w:rPr>
      <w:rFonts w:eastAsiaTheme="majorEastAsia" w:cstheme="majorBidi"/>
      <w:color w:val="272727" w:themeColor="text1" w:themeTint="D8"/>
    </w:rPr>
  </w:style>
  <w:style w:type="paragraph" w:styleId="Title">
    <w:name w:val="Title"/>
    <w:basedOn w:val="Normal"/>
    <w:next w:val="Normal"/>
    <w:link w:val="TitleChar"/>
    <w:uiPriority w:val="10"/>
    <w:qFormat/>
    <w:rsid w:val="008A7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3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3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3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3BE"/>
    <w:pPr>
      <w:spacing w:before="160"/>
      <w:jc w:val="center"/>
    </w:pPr>
    <w:rPr>
      <w:i/>
      <w:iCs/>
      <w:color w:val="404040" w:themeColor="text1" w:themeTint="BF"/>
    </w:rPr>
  </w:style>
  <w:style w:type="character" w:customStyle="1" w:styleId="QuoteChar">
    <w:name w:val="Quote Char"/>
    <w:basedOn w:val="DefaultParagraphFont"/>
    <w:link w:val="Quote"/>
    <w:uiPriority w:val="29"/>
    <w:rsid w:val="008A73BE"/>
    <w:rPr>
      <w:i/>
      <w:iCs/>
      <w:color w:val="404040" w:themeColor="text1" w:themeTint="BF"/>
    </w:rPr>
  </w:style>
  <w:style w:type="paragraph" w:styleId="ListParagraph">
    <w:name w:val="List Paragraph"/>
    <w:basedOn w:val="Normal"/>
    <w:uiPriority w:val="34"/>
    <w:qFormat/>
    <w:rsid w:val="008A73BE"/>
    <w:pPr>
      <w:ind w:left="720"/>
      <w:contextualSpacing/>
    </w:pPr>
  </w:style>
  <w:style w:type="character" w:styleId="IntenseEmphasis">
    <w:name w:val="Intense Emphasis"/>
    <w:basedOn w:val="DefaultParagraphFont"/>
    <w:uiPriority w:val="21"/>
    <w:qFormat/>
    <w:rsid w:val="008A73BE"/>
    <w:rPr>
      <w:i/>
      <w:iCs/>
      <w:color w:val="2F5496" w:themeColor="accent1" w:themeShade="BF"/>
    </w:rPr>
  </w:style>
  <w:style w:type="paragraph" w:styleId="IntenseQuote">
    <w:name w:val="Intense Quote"/>
    <w:basedOn w:val="Normal"/>
    <w:next w:val="Normal"/>
    <w:link w:val="IntenseQuoteChar"/>
    <w:uiPriority w:val="30"/>
    <w:qFormat/>
    <w:rsid w:val="008A73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3BE"/>
    <w:rPr>
      <w:i/>
      <w:iCs/>
      <w:color w:val="2F5496" w:themeColor="accent1" w:themeShade="BF"/>
    </w:rPr>
  </w:style>
  <w:style w:type="character" w:styleId="IntenseReference">
    <w:name w:val="Intense Reference"/>
    <w:basedOn w:val="DefaultParagraphFont"/>
    <w:uiPriority w:val="32"/>
    <w:qFormat/>
    <w:rsid w:val="008A73BE"/>
    <w:rPr>
      <w:b/>
      <w:bCs/>
      <w:smallCaps/>
      <w:color w:val="2F5496" w:themeColor="accent1" w:themeShade="BF"/>
      <w:spacing w:val="5"/>
    </w:rPr>
  </w:style>
  <w:style w:type="paragraph" w:customStyle="1" w:styleId="msonormal0">
    <w:name w:val="msonormal"/>
    <w:basedOn w:val="Normal"/>
    <w:rsid w:val="00D949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D94902"/>
  </w:style>
  <w:style w:type="paragraph" w:styleId="NormalWeb">
    <w:name w:val="Normal (Web)"/>
    <w:basedOn w:val="Normal"/>
    <w:uiPriority w:val="99"/>
    <w:semiHidden/>
    <w:unhideWhenUsed/>
    <w:rsid w:val="00D949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ontents">
    <w:name w:val="contents"/>
    <w:basedOn w:val="DefaultParagraphFont"/>
    <w:rsid w:val="00D94902"/>
  </w:style>
  <w:style w:type="character" w:styleId="Strong">
    <w:name w:val="Strong"/>
    <w:basedOn w:val="DefaultParagraphFont"/>
    <w:uiPriority w:val="22"/>
    <w:qFormat/>
    <w:rsid w:val="00D94902"/>
    <w:rPr>
      <w:b/>
      <w:bCs/>
    </w:rPr>
  </w:style>
  <w:style w:type="paragraph" w:styleId="HTMLPreformatted">
    <w:name w:val="HTML Preformatted"/>
    <w:basedOn w:val="Normal"/>
    <w:link w:val="HTMLPreformattedChar"/>
    <w:uiPriority w:val="99"/>
    <w:semiHidden/>
    <w:unhideWhenUsed/>
    <w:rsid w:val="00D94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9490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94902"/>
    <w:rPr>
      <w:rFonts w:ascii="Courier New" w:eastAsia="Times New Roman" w:hAnsi="Courier New" w:cs="Courier New"/>
      <w:sz w:val="20"/>
      <w:szCs w:val="20"/>
    </w:rPr>
  </w:style>
  <w:style w:type="table" w:styleId="TableGrid">
    <w:name w:val="Table Grid"/>
    <w:basedOn w:val="TableNormal"/>
    <w:uiPriority w:val="39"/>
    <w:rsid w:val="00A53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536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536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C5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A39"/>
  </w:style>
  <w:style w:type="paragraph" w:styleId="Footer">
    <w:name w:val="footer"/>
    <w:basedOn w:val="Normal"/>
    <w:link w:val="FooterChar"/>
    <w:uiPriority w:val="99"/>
    <w:unhideWhenUsed/>
    <w:rsid w:val="001C5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A39"/>
  </w:style>
  <w:style w:type="paragraph" w:styleId="BodyText">
    <w:name w:val="Body Text"/>
    <w:basedOn w:val="Normal"/>
    <w:link w:val="BodyTextChar"/>
    <w:uiPriority w:val="1"/>
    <w:qFormat/>
    <w:rsid w:val="00203ABC"/>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203ABC"/>
    <w:rPr>
      <w:rFonts w:ascii="Times New Roman" w:eastAsia="Times New Roman" w:hAnsi="Times New Roman" w:cs="Times New Roman"/>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30</Pages>
  <Words>6400</Words>
  <Characters>36481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11</cp:revision>
  <dcterms:created xsi:type="dcterms:W3CDTF">2026-09-10T16:26:00Z</dcterms:created>
  <dcterms:modified xsi:type="dcterms:W3CDTF">2026-09-12T11:29:00Z</dcterms:modified>
</cp:coreProperties>
</file>