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6141C" w14:textId="77777777" w:rsidR="00DB4454" w:rsidRDefault="00DB4454" w:rsidP="00DB4454">
      <w:pPr>
        <w:spacing w:line="360" w:lineRule="auto"/>
        <w:rPr>
          <w:rFonts w:ascii="Times New Roman" w:hAnsi="Times New Roman" w:cs="Times New Roman"/>
          <w:b/>
          <w:bCs/>
          <w:sz w:val="32"/>
          <w:szCs w:val="32"/>
        </w:rPr>
      </w:pPr>
    </w:p>
    <w:p w14:paraId="0FE8457C" w14:textId="77777777" w:rsidR="00DB4454" w:rsidRDefault="00DB4454" w:rsidP="00DB4454">
      <w:pPr>
        <w:spacing w:line="360" w:lineRule="auto"/>
        <w:rPr>
          <w:rFonts w:ascii="Times New Roman" w:hAnsi="Times New Roman" w:cs="Times New Roman"/>
          <w:b/>
          <w:bCs/>
          <w:sz w:val="32"/>
          <w:szCs w:val="32"/>
        </w:rPr>
      </w:pPr>
    </w:p>
    <w:p w14:paraId="291F46B2" w14:textId="4945ED86" w:rsidR="00DB4454" w:rsidRPr="00DB4454" w:rsidRDefault="00DB4454" w:rsidP="00DB4454">
      <w:pPr>
        <w:spacing w:line="360" w:lineRule="auto"/>
        <w:jc w:val="center"/>
        <w:rPr>
          <w:rFonts w:ascii="Times New Roman" w:hAnsi="Times New Roman" w:cs="Times New Roman"/>
          <w:b/>
          <w:bCs/>
          <w:color w:val="000000"/>
          <w:sz w:val="32"/>
          <w:szCs w:val="32"/>
          <w:lang w:val="en-US" w:eastAsia="en-IN"/>
        </w:rPr>
      </w:pPr>
      <w:r w:rsidRPr="00DB4454">
        <w:rPr>
          <w:rFonts w:ascii="Times New Roman" w:hAnsi="Times New Roman" w:cs="Times New Roman"/>
          <w:b/>
          <w:bCs/>
          <w:sz w:val="32"/>
          <w:szCs w:val="32"/>
        </w:rPr>
        <w:t>FORECAST-DRIVEN ENERGY-AWARE SCHEDULING FOR SMART MANUFACTURING</w:t>
      </w:r>
    </w:p>
    <w:p w14:paraId="0AA4CA4A"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0C14CDA4"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6F513968" w14:textId="06EBC001" w:rsidR="00DB4454" w:rsidRDefault="00DB4454" w:rsidP="00DB4454">
      <w:pPr>
        <w:spacing w:line="360" w:lineRule="auto"/>
        <w:jc w:val="center"/>
        <w:rPr>
          <w:rFonts w:ascii="Times New Roman" w:hAnsi="Times New Roman" w:cs="Times New Roman"/>
          <w:b/>
          <w:bCs/>
          <w:sz w:val="28"/>
          <w:szCs w:val="28"/>
        </w:rPr>
      </w:pPr>
      <w:r w:rsidRPr="00DB4454">
        <w:rPr>
          <w:rFonts w:ascii="Times New Roman" w:hAnsi="Times New Roman" w:cs="Times New Roman"/>
          <w:b/>
          <w:bCs/>
          <w:sz w:val="28"/>
          <w:szCs w:val="28"/>
        </w:rPr>
        <w:t xml:space="preserve">AD23A38  – Manufacturing Analytics  </w:t>
      </w:r>
    </w:p>
    <w:p w14:paraId="3C45047C" w14:textId="4D93DF7B"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sz w:val="28"/>
          <w:szCs w:val="28"/>
        </w:rPr>
        <w:t xml:space="preserve">Project Report </w:t>
      </w:r>
    </w:p>
    <w:p w14:paraId="1A1431BC"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45FE566A"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13C4C2F4" w14:textId="0865D739"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Submitted by</w:t>
      </w:r>
    </w:p>
    <w:p w14:paraId="7E77D351" w14:textId="19F7FA05"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color w:val="000000"/>
          <w:sz w:val="28"/>
          <w:szCs w:val="28"/>
          <w:lang w:val="en-US" w:eastAsia="en-IN"/>
        </w:rPr>
        <w:t>Hemanth Kumar D               231801057</w:t>
      </w:r>
    </w:p>
    <w:p w14:paraId="55F2D1F8" w14:textId="10BE2FBA"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color w:val="000000"/>
          <w:sz w:val="28"/>
          <w:szCs w:val="28"/>
          <w:lang w:val="en-US" w:eastAsia="en-IN"/>
        </w:rPr>
        <w:t>Balaji R                                   231801018</w:t>
      </w:r>
    </w:p>
    <w:p w14:paraId="5F6E078F" w14:textId="01F3FE0D"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Pr>
          <w:rFonts w:ascii="Times New Roman" w:hAnsi="Times New Roman" w:cs="Times New Roman"/>
          <w:b/>
          <w:bCs/>
          <w:color w:val="000000"/>
          <w:sz w:val="28"/>
          <w:szCs w:val="28"/>
          <w:lang w:val="en-US" w:eastAsia="en-IN"/>
        </w:rPr>
        <w:t xml:space="preserve">Bijlesh S                                  231801501         </w:t>
      </w:r>
    </w:p>
    <w:p w14:paraId="1B24EB7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7269168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p>
    <w:p w14:paraId="156509C5" w14:textId="77777777" w:rsidR="00DB4454" w:rsidRDefault="00DB4454" w:rsidP="00DB4454">
      <w:pPr>
        <w:spacing w:line="360" w:lineRule="auto"/>
        <w:rPr>
          <w:rFonts w:ascii="Times New Roman" w:hAnsi="Times New Roman" w:cs="Times New Roman"/>
          <w:b/>
          <w:bCs/>
          <w:color w:val="000000"/>
          <w:sz w:val="28"/>
          <w:szCs w:val="28"/>
          <w:lang w:val="en-US" w:eastAsia="en-IN"/>
        </w:rPr>
      </w:pPr>
    </w:p>
    <w:p w14:paraId="583904A6" w14:textId="77777777" w:rsidR="00DB4454" w:rsidRDefault="00DB4454" w:rsidP="00DB4454">
      <w:pPr>
        <w:spacing w:line="360" w:lineRule="auto"/>
        <w:jc w:val="center"/>
        <w:rPr>
          <w:rFonts w:ascii="Times New Roman" w:hAnsi="Times New Roman" w:cs="Times New Roman"/>
          <w:b/>
          <w:bCs/>
          <w:color w:val="000000"/>
          <w:sz w:val="28"/>
          <w:szCs w:val="28"/>
          <w:lang w:val="en-US" w:eastAsia="en-IN"/>
        </w:rPr>
      </w:pPr>
    </w:p>
    <w:p w14:paraId="44914581" w14:textId="603479FF"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Department of Artificial Intelligence and Data Science</w:t>
      </w:r>
    </w:p>
    <w:p w14:paraId="14243C69" w14:textId="63A4CD30"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noProof/>
          <w:color w:val="000000"/>
          <w:sz w:val="28"/>
          <w:szCs w:val="28"/>
          <w:lang w:val="en-US" w:eastAsia="en-IN"/>
        </w:rPr>
        <w:drawing>
          <wp:inline distT="0" distB="0" distL="0" distR="0" wp14:anchorId="2E8186BC" wp14:editId="0C7AF20E">
            <wp:extent cx="3619500" cy="541020"/>
            <wp:effectExtent l="0" t="0" r="0" b="0"/>
            <wp:docPr id="191927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25890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00" cy="541020"/>
                    </a:xfrm>
                    <a:prstGeom prst="rect">
                      <a:avLst/>
                    </a:prstGeom>
                    <a:noFill/>
                    <a:ln>
                      <a:noFill/>
                    </a:ln>
                  </pic:spPr>
                </pic:pic>
              </a:graphicData>
            </a:graphic>
          </wp:inline>
        </w:drawing>
      </w:r>
    </w:p>
    <w:p w14:paraId="4D2E33C1"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(An Autonomous Institution, Affiliated to Anna University, Chennai)</w:t>
      </w:r>
    </w:p>
    <w:p w14:paraId="00844204" w14:textId="77777777" w:rsidR="00DB4454" w:rsidRPr="00DB4454" w:rsidRDefault="00DB4454" w:rsidP="00DB4454">
      <w:pPr>
        <w:spacing w:line="360" w:lineRule="auto"/>
        <w:jc w:val="center"/>
        <w:rPr>
          <w:rFonts w:ascii="Times New Roman" w:hAnsi="Times New Roman" w:cs="Times New Roman"/>
          <w:b/>
          <w:bCs/>
          <w:color w:val="000000"/>
          <w:sz w:val="28"/>
          <w:szCs w:val="28"/>
          <w:lang w:val="en-US" w:eastAsia="en-IN"/>
        </w:rPr>
      </w:pPr>
      <w:r w:rsidRPr="00DB4454">
        <w:rPr>
          <w:rFonts w:ascii="Times New Roman" w:hAnsi="Times New Roman" w:cs="Times New Roman"/>
          <w:b/>
          <w:bCs/>
          <w:color w:val="000000"/>
          <w:sz w:val="28"/>
          <w:szCs w:val="28"/>
          <w:lang w:val="en-US" w:eastAsia="en-IN"/>
        </w:rPr>
        <w:t>SEPTEMBER 2026</w:t>
      </w:r>
    </w:p>
    <w:p w14:paraId="033E60EB" w14:textId="0CD304F7" w:rsidR="00203ABC" w:rsidRDefault="00203ABC" w:rsidP="00203ABC">
      <w:pPr>
        <w:spacing w:line="360" w:lineRule="auto"/>
        <w:rPr>
          <w:rFonts w:ascii="Times New Roman" w:hAnsi="Times New Roman" w:cs="Times New Roman"/>
          <w:b/>
          <w:bCs/>
          <w:color w:val="000000"/>
          <w:sz w:val="28"/>
          <w:szCs w:val="28"/>
          <w:lang w:eastAsia="en-IN"/>
        </w:rPr>
      </w:pPr>
    </w:p>
    <w:p w14:paraId="5236C685" w14:textId="77777777" w:rsidR="00DB4454" w:rsidRDefault="00DB4454" w:rsidP="00203ABC">
      <w:pPr>
        <w:spacing w:line="360" w:lineRule="auto"/>
        <w:rPr>
          <w:rFonts w:ascii="Times New Roman" w:hAnsi="Times New Roman" w:cs="Times New Roman"/>
          <w:b/>
          <w:bCs/>
          <w:color w:val="000000"/>
          <w:sz w:val="28"/>
          <w:szCs w:val="28"/>
          <w:lang w:eastAsia="en-IN"/>
        </w:rPr>
      </w:pPr>
    </w:p>
    <w:p w14:paraId="0AC10F5F" w14:textId="77777777" w:rsidR="00DB4454" w:rsidRDefault="00DB4454" w:rsidP="00203ABC">
      <w:pPr>
        <w:spacing w:line="360" w:lineRule="auto"/>
        <w:rPr>
          <w:rFonts w:ascii="Times New Roman" w:hAnsi="Times New Roman" w:cs="Times New Roman"/>
          <w:b/>
          <w:bCs/>
          <w:color w:val="000000"/>
          <w:sz w:val="28"/>
          <w:szCs w:val="28"/>
          <w:lang w:eastAsia="en-IN"/>
        </w:rPr>
      </w:pPr>
    </w:p>
    <w:p w14:paraId="0B18D99C" w14:textId="167232B4" w:rsidR="00203ABC" w:rsidRPr="00DB4454" w:rsidRDefault="00DB4454" w:rsidP="00203ABC">
      <w:pPr>
        <w:jc w:val="both"/>
        <w:rPr>
          <w:rFonts w:ascii="Times New Roman" w:hAnsi="Times New Roman" w:cs="Times New Roman"/>
          <w:b/>
          <w:bCs/>
          <w:sz w:val="28"/>
          <w:szCs w:val="28"/>
        </w:rPr>
      </w:pPr>
      <w:r w:rsidRPr="00DB4454">
        <w:rPr>
          <w:rFonts w:ascii="Times New Roman" w:hAnsi="Times New Roman" w:cs="Times New Roman"/>
          <w:noProof/>
          <w:lang w:eastAsia="en-GB" w:bidi="ta-IN"/>
        </w:rPr>
        <w:drawing>
          <wp:anchor distT="0" distB="0" distL="114300" distR="114300" simplePos="0" relativeHeight="251658240" behindDoc="1" locked="0" layoutInCell="1" allowOverlap="1" wp14:anchorId="2AF766E2" wp14:editId="360FD4FE">
            <wp:simplePos x="0" y="0"/>
            <wp:positionH relativeFrom="margin">
              <wp:align>center</wp:align>
            </wp:positionH>
            <wp:positionV relativeFrom="paragraph">
              <wp:posOffset>14605</wp:posOffset>
            </wp:positionV>
            <wp:extent cx="5175885" cy="818515"/>
            <wp:effectExtent l="0" t="0" r="5715" b="635"/>
            <wp:wrapNone/>
            <wp:docPr id="605627092" name="Picture 3"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27092" name="Picture 3" descr="A purple text on a black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75885" cy="818515"/>
                    </a:xfrm>
                    <a:prstGeom prst="rect">
                      <a:avLst/>
                    </a:prstGeom>
                    <a:noFill/>
                    <a:ln>
                      <a:noFill/>
                    </a:ln>
                  </pic:spPr>
                </pic:pic>
              </a:graphicData>
            </a:graphic>
          </wp:anchor>
        </w:drawing>
      </w:r>
      <w:r w:rsidRPr="00DB4454">
        <w:rPr>
          <w:rFonts w:ascii="Times New Roman" w:hAnsi="Times New Roman" w:cs="Times New Roman"/>
          <w:b/>
          <w:bCs/>
          <w:sz w:val="28"/>
          <w:szCs w:val="28"/>
        </w:rPr>
        <w:tab/>
      </w:r>
    </w:p>
    <w:p w14:paraId="3F18DBA2" w14:textId="228BD4C1" w:rsidR="00DB4454" w:rsidRPr="00DB4454" w:rsidRDefault="00DB4454" w:rsidP="00203ABC">
      <w:pPr>
        <w:pStyle w:val="BodyText"/>
        <w:ind w:left="1440" w:firstLine="720"/>
        <w:rPr>
          <w:b/>
          <w:bCs/>
          <w:w w:val="105"/>
          <w:sz w:val="36"/>
          <w:szCs w:val="36"/>
        </w:rPr>
      </w:pPr>
    </w:p>
    <w:p w14:paraId="40F0897E" w14:textId="77777777" w:rsidR="00DB4454" w:rsidRPr="00DB4454" w:rsidRDefault="00DB4454" w:rsidP="00203ABC">
      <w:pPr>
        <w:pStyle w:val="BodyText"/>
        <w:ind w:left="1440" w:firstLine="720"/>
        <w:rPr>
          <w:b/>
          <w:bCs/>
          <w:w w:val="105"/>
          <w:sz w:val="36"/>
          <w:szCs w:val="36"/>
        </w:rPr>
      </w:pPr>
    </w:p>
    <w:p w14:paraId="5AA7CFE9" w14:textId="77777777" w:rsidR="00DB4454" w:rsidRPr="00DB4454" w:rsidRDefault="00DB4454" w:rsidP="00203ABC">
      <w:pPr>
        <w:pStyle w:val="BodyText"/>
        <w:ind w:left="1440" w:firstLine="720"/>
        <w:rPr>
          <w:b/>
          <w:bCs/>
          <w:w w:val="105"/>
          <w:sz w:val="36"/>
          <w:szCs w:val="36"/>
        </w:rPr>
      </w:pPr>
    </w:p>
    <w:p w14:paraId="7E7CD179" w14:textId="77777777" w:rsidR="00DB4454" w:rsidRDefault="00DB4454" w:rsidP="00203ABC">
      <w:pPr>
        <w:pStyle w:val="BodyText"/>
        <w:ind w:left="1440" w:firstLine="720"/>
        <w:rPr>
          <w:b/>
          <w:bCs/>
          <w:w w:val="105"/>
          <w:sz w:val="36"/>
          <w:szCs w:val="36"/>
        </w:rPr>
      </w:pPr>
    </w:p>
    <w:p w14:paraId="5360FF07" w14:textId="7DF36BD5" w:rsidR="00203ABC" w:rsidRPr="00DB4454" w:rsidRDefault="00203ABC" w:rsidP="00DB4454">
      <w:pPr>
        <w:pStyle w:val="BodyText"/>
        <w:ind w:left="2160" w:firstLine="720"/>
        <w:rPr>
          <w:b/>
          <w:bCs/>
          <w:sz w:val="36"/>
          <w:szCs w:val="36"/>
        </w:rPr>
      </w:pPr>
      <w:r w:rsidRPr="00DB4454">
        <w:rPr>
          <w:b/>
          <w:bCs/>
          <w:w w:val="105"/>
          <w:sz w:val="36"/>
          <w:szCs w:val="36"/>
        </w:rPr>
        <w:t>BONAFIDE</w:t>
      </w:r>
      <w:r w:rsidRPr="00DB4454">
        <w:rPr>
          <w:b/>
          <w:bCs/>
          <w:spacing w:val="9"/>
          <w:w w:val="105"/>
          <w:sz w:val="36"/>
          <w:szCs w:val="36"/>
        </w:rPr>
        <w:t xml:space="preserve"> </w:t>
      </w:r>
      <w:r w:rsidRPr="00DB4454">
        <w:rPr>
          <w:b/>
          <w:bCs/>
          <w:w w:val="105"/>
          <w:sz w:val="36"/>
          <w:szCs w:val="36"/>
        </w:rPr>
        <w:t>CERTIFICATE</w:t>
      </w:r>
    </w:p>
    <w:p w14:paraId="4B2499B5" w14:textId="77777777" w:rsidR="00203ABC" w:rsidRPr="00DB4454" w:rsidRDefault="00203ABC" w:rsidP="00203ABC">
      <w:pPr>
        <w:pStyle w:val="BodyText"/>
        <w:rPr>
          <w:sz w:val="20"/>
        </w:rPr>
      </w:pPr>
    </w:p>
    <w:p w14:paraId="56298E11" w14:textId="77777777" w:rsidR="00203ABC" w:rsidRPr="00DB4454" w:rsidRDefault="00203ABC" w:rsidP="00203ABC">
      <w:pPr>
        <w:pStyle w:val="BodyText"/>
        <w:rPr>
          <w:sz w:val="20"/>
        </w:rPr>
      </w:pPr>
    </w:p>
    <w:p w14:paraId="133C0FCD" w14:textId="77777777" w:rsidR="00203ABC" w:rsidRPr="00DB4454" w:rsidRDefault="00203ABC" w:rsidP="00203ABC">
      <w:pPr>
        <w:jc w:val="both"/>
        <w:rPr>
          <w:rFonts w:ascii="Times New Roman" w:hAnsi="Times New Roman" w:cs="Times New Roman"/>
          <w:b/>
          <w:bCs/>
          <w:sz w:val="28"/>
          <w:szCs w:val="28"/>
        </w:rPr>
      </w:pPr>
    </w:p>
    <w:p w14:paraId="0236D4FD" w14:textId="77777777" w:rsidR="00203ABC" w:rsidRPr="00DB4454" w:rsidRDefault="00203ABC" w:rsidP="00203ABC">
      <w:pPr>
        <w:spacing w:before="254" w:line="369" w:lineRule="auto"/>
        <w:ind w:left="709" w:right="679"/>
        <w:jc w:val="both"/>
        <w:rPr>
          <w:rFonts w:ascii="Times New Roman" w:hAnsi="Times New Roman" w:cs="Times New Roman"/>
          <w:sz w:val="28"/>
          <w:szCs w:val="28"/>
        </w:rPr>
      </w:pPr>
      <w:r w:rsidRPr="00DB4454">
        <w:rPr>
          <w:rFonts w:ascii="Times New Roman" w:hAnsi="Times New Roman" w:cs="Times New Roman"/>
          <w:sz w:val="28"/>
          <w:szCs w:val="28"/>
        </w:rPr>
        <w:t>Certified that this mini-project report “</w:t>
      </w:r>
      <w:r w:rsidRPr="00DB4454">
        <w:rPr>
          <w:rFonts w:ascii="Times New Roman" w:hAnsi="Times New Roman" w:cs="Times New Roman"/>
          <w:b/>
          <w:bCs/>
          <w:sz w:val="28"/>
          <w:szCs w:val="28"/>
        </w:rPr>
        <w:t>Forecast-Driven Energy-Aware Scheduling for Smart Manufacturing</w:t>
      </w:r>
      <w:r w:rsidRPr="00DB4454">
        <w:rPr>
          <w:rFonts w:ascii="Times New Roman" w:hAnsi="Times New Roman" w:cs="Times New Roman"/>
          <w:sz w:val="28"/>
          <w:szCs w:val="28"/>
        </w:rPr>
        <w:t xml:space="preserve">”  is the bonafide work of Hemanth Kumar D ( 231801057) , Balaji R (231801018) , Bijlesh S (231801501) VII Semester, B.Tech. Artificial Intelligence and Data Science Department in partial fulfilment of the requirements of the course </w:t>
      </w:r>
      <w:r w:rsidRPr="00DB4454">
        <w:rPr>
          <w:rFonts w:ascii="Times New Roman" w:hAnsi="Times New Roman" w:cs="Times New Roman"/>
          <w:b/>
          <w:bCs/>
          <w:sz w:val="28"/>
          <w:szCs w:val="28"/>
        </w:rPr>
        <w:t xml:space="preserve">AD23A38  – Manufacturing Analytics  </w:t>
      </w:r>
      <w:r w:rsidRPr="00DB4454">
        <w:rPr>
          <w:rFonts w:ascii="Times New Roman" w:hAnsi="Times New Roman" w:cs="Times New Roman"/>
          <w:sz w:val="28"/>
          <w:szCs w:val="28"/>
        </w:rPr>
        <w:t>during the Academic Year 2026 – 2027.</w:t>
      </w:r>
    </w:p>
    <w:p w14:paraId="0C959327" w14:textId="77777777" w:rsidR="00203ABC" w:rsidRPr="00DB4454" w:rsidRDefault="00203ABC" w:rsidP="00203ABC">
      <w:pPr>
        <w:jc w:val="both"/>
        <w:rPr>
          <w:rFonts w:ascii="Times New Roman" w:hAnsi="Times New Roman" w:cs="Times New Roman"/>
          <w:b/>
          <w:bCs/>
          <w:sz w:val="28"/>
          <w:szCs w:val="28"/>
        </w:rPr>
      </w:pPr>
    </w:p>
    <w:p w14:paraId="613AFD36" w14:textId="77777777" w:rsidR="00203ABC" w:rsidRPr="00DB4454" w:rsidRDefault="00203ABC" w:rsidP="00203ABC">
      <w:pPr>
        <w:jc w:val="both"/>
        <w:rPr>
          <w:rFonts w:ascii="Times New Roman" w:hAnsi="Times New Roman" w:cs="Times New Roman"/>
          <w:b/>
          <w:bCs/>
          <w:sz w:val="28"/>
          <w:szCs w:val="28"/>
        </w:rPr>
      </w:pPr>
    </w:p>
    <w:p w14:paraId="2F10DA60" w14:textId="77777777" w:rsidR="00203ABC" w:rsidRPr="00DB4454" w:rsidRDefault="00203ABC" w:rsidP="00203ABC">
      <w:pPr>
        <w:jc w:val="both"/>
        <w:rPr>
          <w:rFonts w:ascii="Times New Roman" w:hAnsi="Times New Roman" w:cs="Times New Roman"/>
          <w:b/>
          <w:bCs/>
          <w:sz w:val="28"/>
          <w:szCs w:val="28"/>
        </w:rPr>
      </w:pPr>
    </w:p>
    <w:p w14:paraId="3496504B" w14:textId="77777777" w:rsidR="00203ABC" w:rsidRPr="00DB4454" w:rsidRDefault="00203ABC" w:rsidP="00203ABC">
      <w:pPr>
        <w:spacing w:before="95"/>
        <w:rPr>
          <w:rFonts w:ascii="Times New Roman" w:hAnsi="Times New Roman" w:cs="Times New Roman"/>
          <w:sz w:val="32"/>
          <w:szCs w:val="32"/>
        </w:rPr>
      </w:pP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b/>
          <w:bCs/>
          <w:sz w:val="28"/>
          <w:szCs w:val="28"/>
        </w:rPr>
        <w:tab/>
      </w:r>
      <w:r w:rsidRPr="00DB4454">
        <w:rPr>
          <w:rFonts w:ascii="Times New Roman" w:hAnsi="Times New Roman" w:cs="Times New Roman"/>
          <w:w w:val="105"/>
          <w:sz w:val="32"/>
          <w:szCs w:val="32"/>
        </w:rPr>
        <w:t>Faculty</w:t>
      </w:r>
      <w:r w:rsidRPr="00DB4454">
        <w:rPr>
          <w:rFonts w:ascii="Times New Roman" w:hAnsi="Times New Roman" w:cs="Times New Roman"/>
          <w:spacing w:val="25"/>
          <w:w w:val="105"/>
          <w:sz w:val="32"/>
          <w:szCs w:val="32"/>
        </w:rPr>
        <w:t xml:space="preserve"> </w:t>
      </w:r>
      <w:r w:rsidRPr="00DB4454">
        <w:rPr>
          <w:rFonts w:ascii="Times New Roman" w:hAnsi="Times New Roman" w:cs="Times New Roman"/>
          <w:w w:val="105"/>
          <w:sz w:val="32"/>
          <w:szCs w:val="32"/>
        </w:rPr>
        <w:t>in</w:t>
      </w:r>
      <w:r w:rsidRPr="00DB4454">
        <w:rPr>
          <w:rFonts w:ascii="Times New Roman" w:hAnsi="Times New Roman" w:cs="Times New Roman"/>
          <w:spacing w:val="-36"/>
          <w:w w:val="105"/>
          <w:sz w:val="32"/>
          <w:szCs w:val="32"/>
        </w:rPr>
        <w:t>-</w:t>
      </w:r>
      <w:r w:rsidRPr="00DB4454">
        <w:rPr>
          <w:rFonts w:ascii="Times New Roman" w:hAnsi="Times New Roman" w:cs="Times New Roman"/>
          <w:spacing w:val="-2"/>
          <w:w w:val="105"/>
          <w:sz w:val="32"/>
          <w:szCs w:val="32"/>
        </w:rPr>
        <w:t>charge</w:t>
      </w:r>
    </w:p>
    <w:p w14:paraId="17C103B8" w14:textId="77777777" w:rsidR="00DB4454" w:rsidRPr="00DB4454" w:rsidRDefault="00DB4454" w:rsidP="00203ABC">
      <w:pPr>
        <w:pStyle w:val="BodyText"/>
        <w:spacing w:before="239"/>
        <w:ind w:left="644"/>
        <w:rPr>
          <w:sz w:val="28"/>
          <w:szCs w:val="28"/>
        </w:rPr>
      </w:pPr>
    </w:p>
    <w:p w14:paraId="56485FCE" w14:textId="77777777" w:rsidR="00DB4454" w:rsidRPr="00DB4454" w:rsidRDefault="00DB4454" w:rsidP="00203ABC">
      <w:pPr>
        <w:pStyle w:val="BodyText"/>
        <w:spacing w:before="239"/>
        <w:ind w:left="644"/>
        <w:rPr>
          <w:sz w:val="28"/>
          <w:szCs w:val="28"/>
        </w:rPr>
      </w:pPr>
    </w:p>
    <w:p w14:paraId="059328AA" w14:textId="62B86004" w:rsidR="00203ABC" w:rsidRPr="00DB4454" w:rsidRDefault="00203ABC" w:rsidP="00203ABC">
      <w:pPr>
        <w:pStyle w:val="BodyText"/>
        <w:spacing w:before="239"/>
        <w:ind w:left="644"/>
        <w:rPr>
          <w:sz w:val="28"/>
          <w:szCs w:val="28"/>
        </w:rPr>
      </w:pPr>
      <w:r w:rsidRPr="00DB4454">
        <w:rPr>
          <w:sz w:val="28"/>
          <w:szCs w:val="28"/>
        </w:rPr>
        <w:t>Submitted</w:t>
      </w:r>
      <w:r w:rsidRPr="00DB4454">
        <w:rPr>
          <w:spacing w:val="24"/>
          <w:sz w:val="28"/>
          <w:szCs w:val="28"/>
        </w:rPr>
        <w:t xml:space="preserve"> </w:t>
      </w:r>
      <w:r w:rsidRPr="00DB4454">
        <w:rPr>
          <w:sz w:val="28"/>
          <w:szCs w:val="28"/>
        </w:rPr>
        <w:t xml:space="preserve">to mini-project viva voce examination held on: ……………………… </w:t>
      </w:r>
    </w:p>
    <w:p w14:paraId="798BA5F2" w14:textId="77777777" w:rsidR="00203ABC" w:rsidRPr="00DB4454" w:rsidRDefault="00203ABC" w:rsidP="00203ABC">
      <w:pPr>
        <w:pStyle w:val="BodyText"/>
        <w:spacing w:before="239"/>
        <w:ind w:left="644"/>
        <w:rPr>
          <w:spacing w:val="-5"/>
          <w:sz w:val="32"/>
          <w:szCs w:val="32"/>
        </w:rPr>
      </w:pPr>
    </w:p>
    <w:p w14:paraId="7D6A2AD9" w14:textId="77777777" w:rsidR="00203ABC" w:rsidRPr="00DB4454" w:rsidRDefault="00203ABC" w:rsidP="00203ABC">
      <w:pPr>
        <w:pStyle w:val="BodyText"/>
        <w:spacing w:before="239"/>
        <w:ind w:left="644"/>
        <w:rPr>
          <w:spacing w:val="-5"/>
          <w:sz w:val="32"/>
          <w:szCs w:val="32"/>
        </w:rPr>
      </w:pPr>
    </w:p>
    <w:p w14:paraId="6CFAC36F" w14:textId="77777777" w:rsidR="00203ABC" w:rsidRPr="00DB4454" w:rsidRDefault="00203ABC" w:rsidP="00203ABC">
      <w:pPr>
        <w:pStyle w:val="BodyText"/>
        <w:spacing w:before="239"/>
        <w:ind w:left="644"/>
        <w:rPr>
          <w:b/>
          <w:bCs/>
          <w:spacing w:val="-5"/>
          <w:sz w:val="32"/>
          <w:szCs w:val="32"/>
        </w:rPr>
      </w:pPr>
    </w:p>
    <w:p w14:paraId="6B287C39" w14:textId="77777777" w:rsidR="00203ABC" w:rsidRPr="00DB4454" w:rsidRDefault="00203ABC" w:rsidP="00203ABC">
      <w:pPr>
        <w:pStyle w:val="BodyText"/>
        <w:spacing w:before="239"/>
        <w:ind w:left="644"/>
        <w:rPr>
          <w:b/>
          <w:bCs/>
          <w:spacing w:val="-5"/>
          <w:sz w:val="32"/>
          <w:szCs w:val="32"/>
        </w:rPr>
      </w:pPr>
    </w:p>
    <w:p w14:paraId="65DC8C3E" w14:textId="3E2BCAD0" w:rsidR="00203ABC" w:rsidRPr="00DB4454" w:rsidRDefault="00DB4454" w:rsidP="00203ABC">
      <w:pPr>
        <w:pStyle w:val="BodyText"/>
        <w:spacing w:before="239"/>
        <w:rPr>
          <w:b/>
          <w:bCs/>
          <w:sz w:val="32"/>
          <w:szCs w:val="32"/>
        </w:rPr>
        <w:sectPr w:rsidR="00203ABC" w:rsidRPr="00DB4454" w:rsidSect="00203ABC">
          <w:pgSz w:w="11907" w:h="16840" w:code="9"/>
          <w:pgMar w:top="720" w:right="998" w:bottom="278" w:left="782"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DB4454">
        <w:rPr>
          <w:b/>
          <w:bCs/>
          <w:spacing w:val="-5"/>
          <w:sz w:val="32"/>
          <w:szCs w:val="32"/>
        </w:rPr>
        <w:t xml:space="preserve">     </w:t>
      </w:r>
      <w:r w:rsidR="00203ABC" w:rsidRPr="00DB4454">
        <w:rPr>
          <w:b/>
          <w:bCs/>
          <w:spacing w:val="-5"/>
          <w:sz w:val="32"/>
          <w:szCs w:val="32"/>
        </w:rPr>
        <w:t xml:space="preserve">INTERNAL EXAMINER       </w:t>
      </w:r>
      <w:r w:rsidR="00203ABC" w:rsidRPr="00DB4454">
        <w:rPr>
          <w:b/>
          <w:bCs/>
          <w:spacing w:val="-5"/>
          <w:sz w:val="32"/>
          <w:szCs w:val="32"/>
        </w:rPr>
        <w:tab/>
      </w:r>
      <w:r w:rsidR="00203ABC" w:rsidRPr="00DB4454">
        <w:rPr>
          <w:b/>
          <w:bCs/>
          <w:spacing w:val="-5"/>
          <w:sz w:val="32"/>
          <w:szCs w:val="32"/>
        </w:rPr>
        <w:tab/>
      </w:r>
      <w:r w:rsidR="00203ABC" w:rsidRPr="00DB4454">
        <w:rPr>
          <w:b/>
          <w:bCs/>
          <w:spacing w:val="-5"/>
          <w:sz w:val="32"/>
          <w:szCs w:val="32"/>
        </w:rPr>
        <w:tab/>
        <w:t>EXTERNAL EXAMINER</w:t>
      </w:r>
    </w:p>
    <w:p w14:paraId="4FA333E2" w14:textId="77777777" w:rsidR="00124450" w:rsidRDefault="00124450" w:rsidP="00124450">
      <w:pPr>
        <w:ind w:left="2160" w:firstLine="720"/>
        <w:jc w:val="both"/>
        <w:rPr>
          <w:rFonts w:ascii="Times New Roman" w:hAnsi="Times New Roman" w:cs="Times New Roman"/>
          <w:b/>
          <w:bCs/>
          <w:sz w:val="28"/>
          <w:szCs w:val="28"/>
        </w:rPr>
      </w:pPr>
    </w:p>
    <w:p w14:paraId="26EAFDD1" w14:textId="430A36EC" w:rsidR="00124450" w:rsidRPr="00124450" w:rsidRDefault="00124450" w:rsidP="00B178DE">
      <w:pPr>
        <w:spacing w:line="360" w:lineRule="auto"/>
        <w:ind w:left="2160" w:firstLine="720"/>
        <w:jc w:val="both"/>
        <w:rPr>
          <w:rFonts w:ascii="Times New Roman" w:hAnsi="Times New Roman" w:cs="Times New Roman"/>
          <w:b/>
          <w:bCs/>
          <w:sz w:val="28"/>
          <w:szCs w:val="28"/>
        </w:rPr>
      </w:pPr>
      <w:r w:rsidRPr="00124450">
        <w:rPr>
          <w:rFonts w:ascii="Times New Roman" w:hAnsi="Times New Roman" w:cs="Times New Roman"/>
          <w:b/>
          <w:bCs/>
          <w:sz w:val="28"/>
          <w:szCs w:val="28"/>
        </w:rPr>
        <w:t>ACKNOWLEDGEMENT</w:t>
      </w:r>
    </w:p>
    <w:p w14:paraId="2017F24D" w14:textId="77777777" w:rsidR="00124450" w:rsidRPr="00124450" w:rsidRDefault="00124450" w:rsidP="00B178DE">
      <w:pPr>
        <w:spacing w:line="360" w:lineRule="auto"/>
        <w:jc w:val="both"/>
        <w:rPr>
          <w:rFonts w:ascii="Times New Roman" w:hAnsi="Times New Roman" w:cs="Times New Roman"/>
          <w:sz w:val="28"/>
          <w:szCs w:val="28"/>
        </w:rPr>
      </w:pPr>
    </w:p>
    <w:p w14:paraId="7F35AFA4" w14:textId="60742307" w:rsidR="00124450" w:rsidRPr="00124450" w:rsidRDefault="00124450" w:rsidP="00B178DE">
      <w:pPr>
        <w:spacing w:line="360" w:lineRule="auto"/>
        <w:jc w:val="both"/>
        <w:rPr>
          <w:rFonts w:ascii="Times New Roman" w:hAnsi="Times New Roman" w:cs="Times New Roman"/>
          <w:sz w:val="28"/>
          <w:szCs w:val="28"/>
        </w:rPr>
      </w:pPr>
      <w:r w:rsidRPr="00124450">
        <w:rPr>
          <w:rFonts w:ascii="Times New Roman" w:hAnsi="Times New Roman" w:cs="Times New Roman"/>
          <w:sz w:val="28"/>
          <w:szCs w:val="28"/>
        </w:rPr>
        <w:t>We begin by expressing our deepest gratitude to the Almighty for guiding us through every</w:t>
      </w:r>
      <w:r>
        <w:rPr>
          <w:rFonts w:ascii="Times New Roman" w:hAnsi="Times New Roman" w:cs="Times New Roman"/>
          <w:sz w:val="28"/>
          <w:szCs w:val="28"/>
        </w:rPr>
        <w:t xml:space="preserve"> </w:t>
      </w:r>
      <w:r w:rsidRPr="00124450">
        <w:rPr>
          <w:rFonts w:ascii="Times New Roman" w:hAnsi="Times New Roman" w:cs="Times New Roman"/>
          <w:sz w:val="28"/>
          <w:szCs w:val="28"/>
        </w:rPr>
        <w:t>step of this journey and for blessing us with the strength and clarity to complete this work.</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We sincerely thank our respected Chairman </w:t>
      </w:r>
      <w:r w:rsidRPr="00124450">
        <w:rPr>
          <w:rFonts w:ascii="Times New Roman" w:hAnsi="Times New Roman" w:cs="Times New Roman"/>
          <w:b/>
          <w:bCs/>
          <w:sz w:val="28"/>
          <w:szCs w:val="28"/>
        </w:rPr>
        <w:t>Mr. S. Meganathan</w:t>
      </w:r>
      <w:r w:rsidRPr="00124450">
        <w:rPr>
          <w:rFonts w:ascii="Times New Roman" w:hAnsi="Times New Roman" w:cs="Times New Roman"/>
          <w:sz w:val="28"/>
          <w:szCs w:val="28"/>
        </w:rPr>
        <w:t>, B.E., F.I.E., our Chairperson</w:t>
      </w:r>
      <w:r>
        <w:rPr>
          <w:rFonts w:ascii="Times New Roman" w:hAnsi="Times New Roman" w:cs="Times New Roman"/>
          <w:sz w:val="28"/>
          <w:szCs w:val="28"/>
        </w:rPr>
        <w:t xml:space="preserve">. </w:t>
      </w:r>
      <w:r w:rsidRPr="00124450">
        <w:rPr>
          <w:rFonts w:ascii="Times New Roman" w:hAnsi="Times New Roman" w:cs="Times New Roman"/>
          <w:b/>
          <w:bCs/>
          <w:sz w:val="28"/>
          <w:szCs w:val="28"/>
        </w:rPr>
        <w:t>Dr. (Mrs.) Thangam Meganathan, Ph.D.</w:t>
      </w:r>
      <w:r w:rsidRPr="00124450">
        <w:rPr>
          <w:rFonts w:ascii="Times New Roman" w:hAnsi="Times New Roman" w:cs="Times New Roman"/>
          <w:sz w:val="28"/>
          <w:szCs w:val="28"/>
        </w:rPr>
        <w:t xml:space="preserve">, and our Vice Chairman </w:t>
      </w:r>
      <w:r w:rsidRPr="00124450">
        <w:rPr>
          <w:rFonts w:ascii="Times New Roman" w:hAnsi="Times New Roman" w:cs="Times New Roman"/>
          <w:b/>
          <w:bCs/>
          <w:sz w:val="28"/>
          <w:szCs w:val="28"/>
        </w:rPr>
        <w:t>Mr. Abhay Shankar Meganathan</w:t>
      </w:r>
      <w:r w:rsidRPr="00124450">
        <w:rPr>
          <w:rFonts w:ascii="Times New Roman" w:hAnsi="Times New Roman" w:cs="Times New Roman"/>
          <w:sz w:val="28"/>
          <w:szCs w:val="28"/>
        </w:rPr>
        <w:t>, B.E., M.S., for providing excellent infrastructure and for their unwavering</w:t>
      </w:r>
      <w:r>
        <w:rPr>
          <w:rFonts w:ascii="Times New Roman" w:hAnsi="Times New Roman" w:cs="Times New Roman"/>
          <w:sz w:val="28"/>
          <w:szCs w:val="28"/>
        </w:rPr>
        <w:t xml:space="preserve"> </w:t>
      </w:r>
      <w:r w:rsidRPr="00124450">
        <w:rPr>
          <w:rFonts w:ascii="Times New Roman" w:hAnsi="Times New Roman" w:cs="Times New Roman"/>
          <w:sz w:val="28"/>
          <w:szCs w:val="28"/>
        </w:rPr>
        <w:t>commitment to quality education.</w:t>
      </w:r>
      <w:r>
        <w:rPr>
          <w:rFonts w:ascii="Times New Roman" w:hAnsi="Times New Roman" w:cs="Times New Roman"/>
          <w:sz w:val="28"/>
          <w:szCs w:val="28"/>
        </w:rPr>
        <w:t xml:space="preserve"> </w:t>
      </w:r>
      <w:r w:rsidRPr="00124450">
        <w:rPr>
          <w:rFonts w:ascii="Times New Roman" w:hAnsi="Times New Roman" w:cs="Times New Roman"/>
          <w:sz w:val="28"/>
          <w:szCs w:val="28"/>
        </w:rPr>
        <w:t>We place on record our sincere thanks to Dr. S. N. Murugesan, M.E., Ph.D., our beloved</w:t>
      </w:r>
      <w:r>
        <w:rPr>
          <w:rFonts w:ascii="Times New Roman" w:hAnsi="Times New Roman" w:cs="Times New Roman"/>
          <w:sz w:val="28"/>
          <w:szCs w:val="28"/>
        </w:rPr>
        <w:t xml:space="preserve"> </w:t>
      </w:r>
      <w:r w:rsidRPr="00124450">
        <w:rPr>
          <w:rFonts w:ascii="Times New Roman" w:hAnsi="Times New Roman" w:cs="Times New Roman"/>
          <w:sz w:val="28"/>
          <w:szCs w:val="28"/>
        </w:rPr>
        <w:t>Principal, for his continuous support and for providing the facilities required for the successful</w:t>
      </w:r>
      <w:r>
        <w:rPr>
          <w:rFonts w:ascii="Times New Roman" w:hAnsi="Times New Roman" w:cs="Times New Roman"/>
          <w:sz w:val="28"/>
          <w:szCs w:val="28"/>
        </w:rPr>
        <w:t xml:space="preserve"> </w:t>
      </w:r>
      <w:r w:rsidRPr="00124450">
        <w:rPr>
          <w:rFonts w:ascii="Times New Roman" w:hAnsi="Times New Roman" w:cs="Times New Roman"/>
          <w:sz w:val="28"/>
          <w:szCs w:val="28"/>
        </w:rPr>
        <w:t>completion of this project.</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We express our heartfelt gratitude to </w:t>
      </w:r>
      <w:r w:rsidRPr="00124450">
        <w:rPr>
          <w:rFonts w:ascii="Times New Roman" w:hAnsi="Times New Roman" w:cs="Times New Roman"/>
          <w:b/>
          <w:bCs/>
          <w:sz w:val="28"/>
          <w:szCs w:val="28"/>
        </w:rPr>
        <w:t>Dr. J M Gnanasekar, Ph.D</w:t>
      </w:r>
      <w:r w:rsidRPr="00124450">
        <w:rPr>
          <w:rFonts w:ascii="Times New Roman" w:hAnsi="Times New Roman" w:cs="Times New Roman"/>
          <w:sz w:val="28"/>
          <w:szCs w:val="28"/>
        </w:rPr>
        <w:t>., Professor and Head of the</w:t>
      </w:r>
      <w:r>
        <w:rPr>
          <w:rFonts w:ascii="Times New Roman" w:hAnsi="Times New Roman" w:cs="Times New Roman"/>
          <w:sz w:val="28"/>
          <w:szCs w:val="28"/>
        </w:rPr>
        <w:t xml:space="preserve"> </w:t>
      </w:r>
      <w:r w:rsidRPr="00124450">
        <w:rPr>
          <w:rFonts w:ascii="Times New Roman" w:hAnsi="Times New Roman" w:cs="Times New Roman"/>
          <w:sz w:val="28"/>
          <w:szCs w:val="28"/>
        </w:rPr>
        <w:t>Department, for his valuable guidance, encouragement, and constructive feedback throughout</w:t>
      </w:r>
      <w:r>
        <w:rPr>
          <w:rFonts w:ascii="Times New Roman" w:hAnsi="Times New Roman" w:cs="Times New Roman"/>
          <w:sz w:val="28"/>
          <w:szCs w:val="28"/>
        </w:rPr>
        <w:t xml:space="preserve"> </w:t>
      </w:r>
      <w:r w:rsidRPr="00124450">
        <w:rPr>
          <w:rFonts w:ascii="Times New Roman" w:hAnsi="Times New Roman" w:cs="Times New Roman"/>
          <w:sz w:val="28"/>
          <w:szCs w:val="28"/>
        </w:rPr>
        <w:t>the course of this project.</w:t>
      </w:r>
      <w:r>
        <w:rPr>
          <w:rFonts w:ascii="Times New Roman" w:hAnsi="Times New Roman" w:cs="Times New Roman"/>
          <w:sz w:val="28"/>
          <w:szCs w:val="28"/>
        </w:rPr>
        <w:t xml:space="preserve"> </w:t>
      </w:r>
      <w:r w:rsidRPr="00124450">
        <w:rPr>
          <w:rFonts w:ascii="Times New Roman" w:hAnsi="Times New Roman" w:cs="Times New Roman"/>
          <w:sz w:val="28"/>
          <w:szCs w:val="28"/>
        </w:rPr>
        <w:t xml:space="preserve">Our deepest thanks go to our </w:t>
      </w:r>
      <w:r w:rsidRPr="00124450">
        <w:rPr>
          <w:rFonts w:ascii="Times New Roman" w:hAnsi="Times New Roman" w:cs="Times New Roman"/>
          <w:b/>
          <w:bCs/>
          <w:sz w:val="28"/>
          <w:szCs w:val="28"/>
        </w:rPr>
        <w:t>internal guide and project coordinator,</w:t>
      </w:r>
      <w:r w:rsidRPr="00124450">
        <w:rPr>
          <w:rFonts w:ascii="Times New Roman" w:hAnsi="Times New Roman" w:cs="Times New Roman"/>
          <w:sz w:val="28"/>
          <w:szCs w:val="28"/>
        </w:rPr>
        <w:t xml:space="preserve"> </w:t>
      </w:r>
      <w:r w:rsidRPr="00124450">
        <w:rPr>
          <w:rFonts w:ascii="Times New Roman" w:hAnsi="Times New Roman" w:cs="Times New Roman"/>
          <w:b/>
          <w:bCs/>
          <w:sz w:val="28"/>
          <w:szCs w:val="28"/>
        </w:rPr>
        <w:t>Mrs. Savithri R</w:t>
      </w:r>
      <w:r w:rsidRPr="00124450">
        <w:rPr>
          <w:rFonts w:ascii="Times New Roman" w:hAnsi="Times New Roman" w:cs="Times New Roman"/>
          <w:sz w:val="28"/>
          <w:szCs w:val="28"/>
        </w:rPr>
        <w:t>, for</w:t>
      </w:r>
      <w:r>
        <w:rPr>
          <w:rFonts w:ascii="Times New Roman" w:hAnsi="Times New Roman" w:cs="Times New Roman"/>
          <w:sz w:val="28"/>
          <w:szCs w:val="28"/>
        </w:rPr>
        <w:t xml:space="preserve"> </w:t>
      </w:r>
      <w:r w:rsidRPr="00124450">
        <w:rPr>
          <w:rFonts w:ascii="Times New Roman" w:hAnsi="Times New Roman" w:cs="Times New Roman"/>
          <w:sz w:val="28"/>
          <w:szCs w:val="28"/>
        </w:rPr>
        <w:t>her patient mentorship, valuable suggestions, constant encouragement, and continuous support</w:t>
      </w:r>
      <w:r>
        <w:rPr>
          <w:rFonts w:ascii="Times New Roman" w:hAnsi="Times New Roman" w:cs="Times New Roman"/>
          <w:sz w:val="28"/>
          <w:szCs w:val="28"/>
        </w:rPr>
        <w:t xml:space="preserve"> </w:t>
      </w:r>
      <w:r w:rsidRPr="00124450">
        <w:rPr>
          <w:rFonts w:ascii="Times New Roman" w:hAnsi="Times New Roman" w:cs="Times New Roman"/>
          <w:sz w:val="28"/>
          <w:szCs w:val="28"/>
        </w:rPr>
        <w:t>throughout the development of our "</w:t>
      </w:r>
      <w:r w:rsidRPr="00124450">
        <w:rPr>
          <w:rFonts w:ascii="Times New Roman" w:hAnsi="Times New Roman" w:cs="Times New Roman"/>
          <w:b/>
          <w:bCs/>
          <w:sz w:val="28"/>
          <w:szCs w:val="28"/>
        </w:rPr>
        <w:t xml:space="preserve"> </w:t>
      </w:r>
      <w:r w:rsidRPr="00DB4454">
        <w:rPr>
          <w:rFonts w:ascii="Times New Roman" w:hAnsi="Times New Roman" w:cs="Times New Roman"/>
          <w:b/>
          <w:bCs/>
          <w:sz w:val="28"/>
          <w:szCs w:val="28"/>
        </w:rPr>
        <w:t>Forecast-Driven Energy-Aware Scheduling for Smart Manufacturing</w:t>
      </w:r>
      <w:r w:rsidRPr="00124450">
        <w:rPr>
          <w:rFonts w:ascii="Times New Roman" w:hAnsi="Times New Roman" w:cs="Times New Roman"/>
          <w:sz w:val="28"/>
          <w:szCs w:val="28"/>
        </w:rPr>
        <w:t xml:space="preserve"> " project.</w:t>
      </w:r>
      <w:r>
        <w:rPr>
          <w:rFonts w:ascii="Times New Roman" w:hAnsi="Times New Roman" w:cs="Times New Roman"/>
          <w:sz w:val="28"/>
          <w:szCs w:val="28"/>
        </w:rPr>
        <w:t xml:space="preserve"> </w:t>
      </w:r>
      <w:r w:rsidRPr="00124450">
        <w:rPr>
          <w:rFonts w:ascii="Times New Roman" w:hAnsi="Times New Roman" w:cs="Times New Roman"/>
          <w:sz w:val="28"/>
          <w:szCs w:val="28"/>
        </w:rPr>
        <w:t>We also wish to thank all the faculty members and teaching staff of the Department of</w:t>
      </w:r>
      <w:r>
        <w:rPr>
          <w:rFonts w:ascii="Times New Roman" w:hAnsi="Times New Roman" w:cs="Times New Roman"/>
          <w:sz w:val="28"/>
          <w:szCs w:val="28"/>
        </w:rPr>
        <w:t xml:space="preserve"> </w:t>
      </w:r>
      <w:r w:rsidRPr="00124450">
        <w:rPr>
          <w:rFonts w:ascii="Times New Roman" w:hAnsi="Times New Roman" w:cs="Times New Roman"/>
          <w:sz w:val="28"/>
          <w:szCs w:val="28"/>
        </w:rPr>
        <w:t>Artificial Intelligence and Data Science for their encouragement and for sharing their</w:t>
      </w:r>
      <w:r>
        <w:rPr>
          <w:rFonts w:ascii="Times New Roman" w:hAnsi="Times New Roman" w:cs="Times New Roman"/>
          <w:sz w:val="28"/>
          <w:szCs w:val="28"/>
        </w:rPr>
        <w:t xml:space="preserve"> </w:t>
      </w:r>
      <w:r w:rsidRPr="00124450">
        <w:rPr>
          <w:rFonts w:ascii="Times New Roman" w:hAnsi="Times New Roman" w:cs="Times New Roman"/>
          <w:sz w:val="28"/>
          <w:szCs w:val="28"/>
        </w:rPr>
        <w:t>valuable knowledge with us. Finally, we express our sincere gratitude to our families and</w:t>
      </w:r>
      <w:r>
        <w:rPr>
          <w:rFonts w:ascii="Times New Roman" w:hAnsi="Times New Roman" w:cs="Times New Roman"/>
          <w:sz w:val="28"/>
          <w:szCs w:val="28"/>
        </w:rPr>
        <w:t xml:space="preserve"> </w:t>
      </w:r>
      <w:r w:rsidRPr="00124450">
        <w:rPr>
          <w:rFonts w:ascii="Times New Roman" w:hAnsi="Times New Roman" w:cs="Times New Roman"/>
          <w:sz w:val="28"/>
          <w:szCs w:val="28"/>
        </w:rPr>
        <w:t>friends for their constant support, motivation, and patience throughout this endeavour.</w:t>
      </w:r>
    </w:p>
    <w:p w14:paraId="1410B721" w14:textId="77777777" w:rsidR="00124450" w:rsidRDefault="00124450" w:rsidP="00B178DE">
      <w:pPr>
        <w:spacing w:line="360" w:lineRule="auto"/>
        <w:jc w:val="both"/>
        <w:rPr>
          <w:rFonts w:ascii="Times New Roman" w:hAnsi="Times New Roman" w:cs="Times New Roman"/>
          <w:b/>
          <w:bCs/>
          <w:sz w:val="28"/>
          <w:szCs w:val="28"/>
        </w:rPr>
      </w:pPr>
    </w:p>
    <w:p w14:paraId="301248F9" w14:textId="77777777" w:rsidR="00124450" w:rsidRDefault="00124450" w:rsidP="00B178DE">
      <w:pPr>
        <w:spacing w:line="360" w:lineRule="auto"/>
        <w:jc w:val="both"/>
        <w:rPr>
          <w:rFonts w:ascii="Times New Roman" w:hAnsi="Times New Roman" w:cs="Times New Roman"/>
          <w:b/>
          <w:bCs/>
          <w:sz w:val="28"/>
          <w:szCs w:val="28"/>
        </w:rPr>
      </w:pPr>
    </w:p>
    <w:p w14:paraId="6260D2AE" w14:textId="77777777" w:rsidR="00124450" w:rsidRDefault="00124450" w:rsidP="00B178DE">
      <w:pPr>
        <w:spacing w:line="360" w:lineRule="auto"/>
        <w:jc w:val="both"/>
        <w:rPr>
          <w:rFonts w:ascii="Times New Roman" w:hAnsi="Times New Roman" w:cs="Times New Roman"/>
          <w:b/>
          <w:bCs/>
          <w:sz w:val="28"/>
          <w:szCs w:val="28"/>
        </w:rPr>
      </w:pPr>
    </w:p>
    <w:p w14:paraId="7FA83F2D" w14:textId="4CDD3165" w:rsidR="00A536F7" w:rsidRPr="00DB4454" w:rsidRDefault="00DB4454"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lastRenderedPageBreak/>
        <w:t>1. INTRODUCTION</w:t>
      </w:r>
    </w:p>
    <w:p w14:paraId="748CAA50"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Overview of the Problem Domain</w:t>
      </w:r>
    </w:p>
    <w:p w14:paraId="536EC0C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Modern manufacturing industries need to improve productivity while reducing operational costs, energy consumption, carbon emissions, and production delays. Manufacturing scheduling is complex because it involves multiple machines, different job requirements, processing times, machine compatibility, setup requirements, and deadlines.</w:t>
      </w:r>
    </w:p>
    <w:p w14:paraId="5AE5E2D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Traditional scheduling methods mainly focus on production factors such as processing time, machine availability, priority, and deadlines. They often do not consider machine energy consumption or changing electricity tariffs, which can lead to higher energy costs and peak demand.</w:t>
      </w:r>
    </w:p>
    <w:p w14:paraId="403D12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Therefore, modern scheduling needs to consider both production performance and energy-related factors. Manufacturing Analytics addresses this by combining data preprocessing, machine learning, forecasting, optimization, and visualization.</w:t>
      </w:r>
    </w:p>
    <w:p w14:paraId="2A3762DC" w14:textId="77777777" w:rsidR="00E844D5" w:rsidRPr="00DB4454" w:rsidRDefault="00E844D5" w:rsidP="00B178DE">
      <w:pPr>
        <w:spacing w:line="360" w:lineRule="auto"/>
        <w:jc w:val="both"/>
        <w:rPr>
          <w:rFonts w:ascii="Times New Roman" w:hAnsi="Times New Roman" w:cs="Times New Roman"/>
          <w:b/>
          <w:bCs/>
        </w:rPr>
      </w:pPr>
    </w:p>
    <w:p w14:paraId="020CC5E1" w14:textId="757F283B"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Energy-Aware Scheduling</w:t>
      </w:r>
    </w:p>
    <w:p w14:paraId="3F0FF4C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proposed system integrates energy forecasting with manufacturing scheduling. It considers:</w:t>
      </w:r>
    </w:p>
    <w:p w14:paraId="622F0875"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Job arrival time, processing duration, priority, and deadline </w:t>
      </w:r>
    </w:p>
    <w:p w14:paraId="416452E3"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Machine compatibility and setup requirements </w:t>
      </w:r>
    </w:p>
    <w:p w14:paraId="40CC94E6"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Machine active and idle power </w:t>
      </w:r>
    </w:p>
    <w:p w14:paraId="03790B82"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Electricity tariffs </w:t>
      </w:r>
    </w:p>
    <w:p w14:paraId="55BB266F" w14:textId="77777777" w:rsidR="00A536F7" w:rsidRPr="00DB4454" w:rsidRDefault="00A536F7" w:rsidP="00B178DE">
      <w:pPr>
        <w:numPr>
          <w:ilvl w:val="0"/>
          <w:numId w:val="1"/>
        </w:numPr>
        <w:spacing w:line="360" w:lineRule="auto"/>
        <w:jc w:val="both"/>
        <w:rPr>
          <w:rFonts w:ascii="Times New Roman" w:hAnsi="Times New Roman" w:cs="Times New Roman"/>
        </w:rPr>
      </w:pPr>
      <w:r w:rsidRPr="00DB4454">
        <w:rPr>
          <w:rFonts w:ascii="Times New Roman" w:hAnsi="Times New Roman" w:cs="Times New Roman"/>
        </w:rPr>
        <w:t xml:space="preserve">Forecasted future energy conditions </w:t>
      </w:r>
    </w:p>
    <w:p w14:paraId="07BE509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objective is to create schedules that reduce energy costs while maintaining production requirements and deadline compliance.</w:t>
      </w:r>
    </w:p>
    <w:p w14:paraId="6C6083E4" w14:textId="77777777" w:rsidR="00E844D5" w:rsidRPr="00DB4454" w:rsidRDefault="00E844D5" w:rsidP="00B178DE">
      <w:pPr>
        <w:spacing w:line="360" w:lineRule="auto"/>
        <w:jc w:val="both"/>
        <w:rPr>
          <w:rFonts w:ascii="Times New Roman" w:hAnsi="Times New Roman" w:cs="Times New Roman"/>
          <w:b/>
          <w:bCs/>
        </w:rPr>
      </w:pPr>
    </w:p>
    <w:p w14:paraId="2B2733CF" w14:textId="29D85C7A"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Role of Forecasting</w:t>
      </w:r>
    </w:p>
    <w:p w14:paraId="19FB5C7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Historical industrial energy data is processed and used to forecast future energy behaviour. The project uses quantile XGBoost models to generate p10, p50, and p90 forecasts, representing different expected energy conditions.</w:t>
      </w:r>
    </w:p>
    <w:p w14:paraId="5B166FD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These forecasts are combined with manufacturing and tariff information to help the scheduler identify suitable periods for processing flexible jobs.</w:t>
      </w:r>
    </w:p>
    <w:p w14:paraId="1080C51F" w14:textId="77777777" w:rsidR="00E844D5" w:rsidRPr="00DB4454" w:rsidRDefault="00E844D5" w:rsidP="00B178DE">
      <w:pPr>
        <w:spacing w:line="360" w:lineRule="auto"/>
        <w:jc w:val="both"/>
        <w:rPr>
          <w:rFonts w:ascii="Times New Roman" w:hAnsi="Times New Roman" w:cs="Times New Roman"/>
          <w:b/>
          <w:bCs/>
        </w:rPr>
      </w:pPr>
    </w:p>
    <w:p w14:paraId="06CE1AB9" w14:textId="4DB0BE4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Electricity Tariffs</w:t>
      </w:r>
    </w:p>
    <w:p w14:paraId="2BE3EFD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system considers three electricity tariff levels:</w:t>
      </w:r>
    </w:p>
    <w:tbl>
      <w:tblPr>
        <w:tblStyle w:val="PlainTable1"/>
        <w:tblW w:w="5259" w:type="dxa"/>
        <w:tblLook w:val="04A0" w:firstRow="1" w:lastRow="0" w:firstColumn="1" w:lastColumn="0" w:noHBand="0" w:noVBand="1"/>
      </w:tblPr>
      <w:tblGrid>
        <w:gridCol w:w="2927"/>
        <w:gridCol w:w="2332"/>
      </w:tblGrid>
      <w:tr w:rsidR="00A536F7" w:rsidRPr="00DB4454" w14:paraId="691A0B73" w14:textId="77777777" w:rsidTr="001C5A39">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6274F3A1"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Tariff Period</w:t>
            </w:r>
          </w:p>
        </w:tc>
        <w:tc>
          <w:tcPr>
            <w:tcW w:w="0" w:type="auto"/>
            <w:hideMark/>
          </w:tcPr>
          <w:p w14:paraId="3BB3503D"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Cost</w:t>
            </w:r>
          </w:p>
        </w:tc>
      </w:tr>
      <w:tr w:rsidR="00A536F7" w:rsidRPr="00DB4454" w14:paraId="587CDAB4" w14:textId="77777777" w:rsidTr="001C5A3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27362C12"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Light Load</w:t>
            </w:r>
          </w:p>
        </w:tc>
        <w:tc>
          <w:tcPr>
            <w:tcW w:w="0" w:type="auto"/>
            <w:hideMark/>
          </w:tcPr>
          <w:p w14:paraId="64457A97"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₹4.00/kWh</w:t>
            </w:r>
          </w:p>
        </w:tc>
      </w:tr>
      <w:tr w:rsidR="00A536F7" w:rsidRPr="00DB4454" w14:paraId="07FCE0FF" w14:textId="77777777" w:rsidTr="001C5A39">
        <w:trPr>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48DF222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 Load</w:t>
            </w:r>
          </w:p>
        </w:tc>
        <w:tc>
          <w:tcPr>
            <w:tcW w:w="0" w:type="auto"/>
            <w:hideMark/>
          </w:tcPr>
          <w:p w14:paraId="332E0830"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₹7.50/kWh</w:t>
            </w:r>
          </w:p>
        </w:tc>
      </w:tr>
      <w:tr w:rsidR="00A536F7" w:rsidRPr="00DB4454" w14:paraId="4EF60283" w14:textId="77777777" w:rsidTr="001C5A39">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0B505C0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Load</w:t>
            </w:r>
          </w:p>
        </w:tc>
        <w:tc>
          <w:tcPr>
            <w:tcW w:w="0" w:type="auto"/>
            <w:hideMark/>
          </w:tcPr>
          <w:p w14:paraId="24E70D4D"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₹12.00/kWh</w:t>
            </w:r>
          </w:p>
        </w:tc>
      </w:tr>
    </w:tbl>
    <w:p w14:paraId="7E5E62F3" w14:textId="77777777" w:rsidR="001C5A39" w:rsidRPr="00DB4454" w:rsidRDefault="001C5A39" w:rsidP="00B178DE">
      <w:pPr>
        <w:spacing w:line="360" w:lineRule="auto"/>
        <w:jc w:val="both"/>
        <w:rPr>
          <w:rFonts w:ascii="Times New Roman" w:hAnsi="Times New Roman" w:cs="Times New Roman"/>
        </w:rPr>
      </w:pPr>
    </w:p>
    <w:p w14:paraId="4ECB36A1" w14:textId="17B7B9C4"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scheduler attempts to shift flexible jobs toward lower-cost periods when machine and deadline constraints allow.</w:t>
      </w:r>
    </w:p>
    <w:p w14:paraId="4FE16258"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Objectives and Scope</w:t>
      </w:r>
    </w:p>
    <w:p w14:paraId="1486A27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main objective is to develop an intelligent scheduling framework that reduces energy-related costs while maintaining production performance. Performance is evaluated using KPIs such as:</w:t>
      </w:r>
    </w:p>
    <w:p w14:paraId="0C135034"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Energy cost </w:t>
      </w:r>
    </w:p>
    <w:p w14:paraId="5BF88B5E"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Peak demand </w:t>
      </w:r>
    </w:p>
    <w:p w14:paraId="690782FE"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Makespan </w:t>
      </w:r>
    </w:p>
    <w:p w14:paraId="60392F0D"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Machine utilization </w:t>
      </w:r>
    </w:p>
    <w:p w14:paraId="0CCEEB54"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Waiting time </w:t>
      </w:r>
    </w:p>
    <w:p w14:paraId="7926B4AD"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Deadline compliance </w:t>
      </w:r>
    </w:p>
    <w:p w14:paraId="5CEE55C5" w14:textId="77777777" w:rsidR="00A536F7" w:rsidRPr="00DB4454" w:rsidRDefault="00A536F7" w:rsidP="00B178DE">
      <w:pPr>
        <w:numPr>
          <w:ilvl w:val="0"/>
          <w:numId w:val="2"/>
        </w:numPr>
        <w:spacing w:line="360" w:lineRule="auto"/>
        <w:jc w:val="both"/>
        <w:rPr>
          <w:rFonts w:ascii="Times New Roman" w:hAnsi="Times New Roman" w:cs="Times New Roman"/>
        </w:rPr>
      </w:pPr>
      <w:r w:rsidRPr="00DB4454">
        <w:rPr>
          <w:rFonts w:ascii="Times New Roman" w:hAnsi="Times New Roman" w:cs="Times New Roman"/>
        </w:rPr>
        <w:t xml:space="preserve">Carbon emissions </w:t>
      </w:r>
    </w:p>
    <w:p w14:paraId="16B15DE0" w14:textId="060700D0"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The prototype uses one year of industrial energy data and a 48-hour synthetic manufacturing scenario with 180 jobs and 8 heterogeneous machines. It is intended as a research prototype rather than direct industrial plant control.</w:t>
      </w:r>
    </w:p>
    <w:p w14:paraId="40BB4A34" w14:textId="77777777" w:rsidR="00B178DE" w:rsidRDefault="00B178DE" w:rsidP="00B178DE">
      <w:pPr>
        <w:spacing w:line="360" w:lineRule="auto"/>
        <w:jc w:val="both"/>
        <w:rPr>
          <w:rFonts w:ascii="Times New Roman" w:hAnsi="Times New Roman" w:cs="Times New Roman"/>
          <w:b/>
          <w:bCs/>
          <w:sz w:val="28"/>
          <w:szCs w:val="28"/>
        </w:rPr>
      </w:pPr>
    </w:p>
    <w:p w14:paraId="1C80A5CE" w14:textId="32F01DFD"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2. PROBLEM STATEMENT</w:t>
      </w:r>
    </w:p>
    <w:p w14:paraId="0E658FC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Manufacturing scheduling involves assigning multiple jobs to a limited number of machines while satisfying operational constraints. Each job may have different processing duration, arrival time, deadline, priority, setup requirements, and compatible machines. At the same time, machines can have different energy consumption levels, while electricity tariffs may vary throughout the day.</w:t>
      </w:r>
    </w:p>
    <w:p w14:paraId="6948904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Conventional scheduling approaches such as First-Come-First-Served (FCFS) and Earliest-Deadline-First (EDF) mainly focus on production order and deadline requirements. They generally do not explicitly consider electricity cost, machine energy efficiency, or peak power demand. As a result, jobs may be scheduled during high-cost periods even when they could be shifted to lower-tariff periods without affecting deadlines. Similarly, a high-power machine may be selected even when a more energy-efficient compatible machine is available.</w:t>
      </w:r>
    </w:p>
    <w:p w14:paraId="1FD3608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problem addressed in this project is to determine the appropriate machine assignment and start time for each manufacturing job while considering forecasted energy conditions, electricity tariffs, and production constraints.</w:t>
      </w:r>
    </w:p>
    <w:p w14:paraId="0B2B4DD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scheduling problem can be represented as:</w:t>
      </w:r>
    </w:p>
    <w:p w14:paraId="17555A4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Given: Jobs + Machines + Energy Forecast + Electricity Tariffs + Production Constraints</w:t>
      </w:r>
    </w:p>
    <w:p w14:paraId="4074A88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Find: Best Machine Assignment + Best Start Time</w:t>
      </w:r>
    </w:p>
    <w:p w14:paraId="567274B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Subject to:</w:t>
      </w:r>
    </w:p>
    <w:p w14:paraId="7FF3C433"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Energy Cost ↓ </w:t>
      </w:r>
    </w:p>
    <w:p w14:paraId="45BADC2D"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Peak Demand ↓ </w:t>
      </w:r>
    </w:p>
    <w:p w14:paraId="2C9D89BC"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Waiting Time Controlled </w:t>
      </w:r>
    </w:p>
    <w:p w14:paraId="32B9AD8A"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Deadlines Satisfied </w:t>
      </w:r>
    </w:p>
    <w:p w14:paraId="18436279"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t xml:space="preserve">Machine Constraints Satisfied </w:t>
      </w:r>
    </w:p>
    <w:p w14:paraId="6C257F8A" w14:textId="77777777" w:rsidR="00A536F7" w:rsidRPr="00DB4454" w:rsidRDefault="00A536F7" w:rsidP="00B178DE">
      <w:pPr>
        <w:numPr>
          <w:ilvl w:val="0"/>
          <w:numId w:val="3"/>
        </w:numPr>
        <w:spacing w:line="360" w:lineRule="auto"/>
        <w:jc w:val="both"/>
        <w:rPr>
          <w:rFonts w:ascii="Times New Roman" w:hAnsi="Times New Roman" w:cs="Times New Roman"/>
        </w:rPr>
      </w:pPr>
      <w:r w:rsidRPr="00DB4454">
        <w:rPr>
          <w:rFonts w:ascii="Times New Roman" w:hAnsi="Times New Roman" w:cs="Times New Roman"/>
        </w:rPr>
        <w:lastRenderedPageBreak/>
        <w:t xml:space="preserve">Production Requirements Maintained </w:t>
      </w:r>
    </w:p>
    <w:p w14:paraId="759ACB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major scheduling decisions include determining which machine should process each job, when the job should start and finish, whether it can be shifted to a lower-tariff period, and whether an energy-efficient machine should be selected instead of a faster but higher-power machine.</w:t>
      </w:r>
    </w:p>
    <w:p w14:paraId="4E71EC9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system must satisfy important constraints. A job cannot start before its arrival time and must be assigned to a compatible machine. A machine cannot process multiple jobs simultaneously, and the required processing duration must be maintained. Setup and changeover requirements must also be considered. Jobs should be completed before their deadlines whenever feasible, while high-priority jobs should receive greater protection against delays. Simultaneous operation of high-power machines should also be controlled to reduce excessive peak demand.</w:t>
      </w:r>
    </w:p>
    <w:p w14:paraId="038E5C5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Therefore, the problem is formulated as an energy-aware multi-objective scheduling problem, where the objective is not simply to minimize makespan. Instead, the system aims to balance electricity cost, peak demand, waiting time, deadline compliance, machine utilization, and carbon emissions while maintaining overall production performance.</w:t>
      </w:r>
    </w:p>
    <w:p w14:paraId="426F16E0" w14:textId="77777777" w:rsidR="00A536F7" w:rsidRDefault="00A536F7" w:rsidP="00B178DE">
      <w:pPr>
        <w:spacing w:line="360" w:lineRule="auto"/>
        <w:jc w:val="both"/>
        <w:rPr>
          <w:rFonts w:ascii="Times New Roman" w:hAnsi="Times New Roman" w:cs="Times New Roman"/>
        </w:rPr>
      </w:pPr>
    </w:p>
    <w:p w14:paraId="4732C4FA" w14:textId="3C8B2DF6"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3. DATA SET DESCRIPTION &amp; PREPROCESSING</w:t>
      </w:r>
    </w:p>
    <w:p w14:paraId="01BB751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 Data Set Description</w:t>
      </w:r>
    </w:p>
    <w:p w14:paraId="0F8733F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uses two major datasets: an industrial energy dataset for energy forecasting and a synthetic manufacturing dataset for evaluating scheduling algorithms. </w:t>
      </w:r>
    </w:p>
    <w:p w14:paraId="50E1714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3.2 Industrial Energy Dataset</w:t>
      </w:r>
    </w:p>
    <w:p w14:paraId="73C4C7B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industrial energy dataset, Steel_industry_data.csv, contains electricity-consumption data recorded at 15-minute intervals during 2018. It contains 35,040 records, representing one complete year of observations. </w:t>
      </w:r>
    </w:p>
    <w:p w14:paraId="5F2F173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main attributes include date, Usage_kWh, reactive power, CO₂-related values, power factor, NSM, WeekStatus, Day_of_week, and Load_Type. These variables provide information about energy consumption, operational conditions, calendar patterns, and load categories. </w:t>
      </w:r>
    </w:p>
    <w:p w14:paraId="2C9A8182"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3.3 Manufacturing Job Dataset</w:t>
      </w:r>
    </w:p>
    <w:p w14:paraId="3E671A9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Since the industrial energy dataset does not contain job-level manufacturing information, a synthetic manufacturing dataset is generated. The benchmark contains 180 jobs. </w:t>
      </w:r>
    </w:p>
    <w:p w14:paraId="1474D05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job includes Job_ID, processing duration, deadline, priority, compatible machines, arrival time, and setup type. The average job duration is approximately 62.75 minutes, with durations ranging from 15 to 150 minutes. The dataset contains 34 high-priority, 101 medium-priority, and 45 low-priority jobs. </w:t>
      </w:r>
    </w:p>
    <w:p w14:paraId="6068F171"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3.4 Machine Dataset</w:t>
      </w:r>
    </w:p>
    <w:p w14:paraId="35036E7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manufacturing environment contains eight heterogeneous machines, representing CNC machining, laser cutting, welding, heat treatment, stamping, assembly, injection moulding, and surface grinding. </w:t>
      </w:r>
    </w:p>
    <w:p w14:paraId="5FB1B31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machine has information such as machine type, idle power, active power, setup energy, and changeover time. Active power ranges from 35 kW to 175 kW, allowing the scheduler to consider energy-efficient machine selection. </w:t>
      </w:r>
    </w:p>
    <w:p w14:paraId="3F2FFD07"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3.5 Synthetic Benchmark Design</w:t>
      </w:r>
    </w:p>
    <w:p w14:paraId="2F0ACB9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manufacturing benchmark uses a 48-hour planning horizon with 15-minute scheduling slots, containing 180 jobs and 8 machines. Approximately 75% of job arrivals occur during maximum-load periods, creating a challenging scenario for energy-aware scheduling. </w:t>
      </w:r>
    </w:p>
    <w:p w14:paraId="4C301AD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Each job has two to four compatible machines, and around 60% of jobs have access to at least one energy-efficient machine. Deadline slack allows selected jobs to be shifted to lower-cost periods without violating deadlines. </w:t>
      </w:r>
    </w:p>
    <w:p w14:paraId="10F9DE2D" w14:textId="750537C1"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peak-biased design specifically tests tariff-aware scheduling, although it may favour methods capable of shifting jobs away from peak periods. This characteristic should therefore be considered when interpreting results. </w:t>
      </w:r>
    </w:p>
    <w:p w14:paraId="5CCD23F6"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3.6 Preprocessing Method Selection</w:t>
      </w:r>
    </w:p>
    <w:p w14:paraId="44E9766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Preprocessing is required to handle issues such as duplicate observations, missing values, inconsistent dates, invalid numerical values, and categorical variables. </w:t>
      </w:r>
    </w:p>
    <w:p w14:paraId="4B6F0AD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selected methods are:</w:t>
      </w:r>
    </w:p>
    <w:tbl>
      <w:tblPr>
        <w:tblStyle w:val="PlainTable1"/>
        <w:tblW w:w="0" w:type="auto"/>
        <w:tblLook w:val="04A0" w:firstRow="1" w:lastRow="0" w:firstColumn="1" w:lastColumn="0" w:noHBand="0" w:noVBand="1"/>
      </w:tblPr>
      <w:tblGrid>
        <w:gridCol w:w="2730"/>
        <w:gridCol w:w="4402"/>
      </w:tblGrid>
      <w:tr w:rsidR="00A536F7" w:rsidRPr="00DB4454" w14:paraId="79DA4E42"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F4B91"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Preprocessing Method</w:t>
            </w:r>
          </w:p>
        </w:tc>
        <w:tc>
          <w:tcPr>
            <w:tcW w:w="0" w:type="auto"/>
            <w:hideMark/>
          </w:tcPr>
          <w:p w14:paraId="4602F0BD"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1A918394"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944B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lastRenderedPageBreak/>
              <w:t>Duplicate Removal</w:t>
            </w:r>
          </w:p>
        </w:tc>
        <w:tc>
          <w:tcPr>
            <w:tcW w:w="0" w:type="auto"/>
            <w:hideMark/>
          </w:tcPr>
          <w:p w14:paraId="63CF1625"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Remove repeated observations</w:t>
            </w:r>
          </w:p>
        </w:tc>
      </w:tr>
      <w:tr w:rsidR="00A536F7" w:rsidRPr="00DB4454" w14:paraId="3267736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5B717B1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Datetime Conversion</w:t>
            </w:r>
          </w:p>
        </w:tc>
        <w:tc>
          <w:tcPr>
            <w:tcW w:w="0" w:type="auto"/>
            <w:hideMark/>
          </w:tcPr>
          <w:p w14:paraId="2B8BEF48"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Extract useful temporal information</w:t>
            </w:r>
          </w:p>
        </w:tc>
      </w:tr>
      <w:tr w:rsidR="00A536F7" w:rsidRPr="00DB4454" w14:paraId="1107BCDA"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2EC8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Numeric Conversion</w:t>
            </w:r>
          </w:p>
        </w:tc>
        <w:tc>
          <w:tcPr>
            <w:tcW w:w="0" w:type="auto"/>
            <w:hideMark/>
          </w:tcPr>
          <w:p w14:paraId="61F8635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Convert numerical fields into valid values</w:t>
            </w:r>
          </w:p>
        </w:tc>
      </w:tr>
      <w:tr w:rsidR="00A536F7" w:rsidRPr="00DB4454" w14:paraId="1B33CFE3"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70E4AC2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Missing-Value Imputation</w:t>
            </w:r>
          </w:p>
        </w:tc>
        <w:tc>
          <w:tcPr>
            <w:tcW w:w="0" w:type="auto"/>
            <w:hideMark/>
          </w:tcPr>
          <w:p w14:paraId="0FADD793"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Handle missing observations</w:t>
            </w:r>
          </w:p>
        </w:tc>
      </w:tr>
      <w:tr w:rsidR="00A536F7" w:rsidRPr="00DB4454" w14:paraId="29E220C6"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AF4C2"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Chronological Sorting</w:t>
            </w:r>
          </w:p>
        </w:tc>
        <w:tc>
          <w:tcPr>
            <w:tcW w:w="0" w:type="auto"/>
            <w:hideMark/>
          </w:tcPr>
          <w:p w14:paraId="784C8047"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Maintain correct time order</w:t>
            </w:r>
          </w:p>
        </w:tc>
      </w:tr>
      <w:tr w:rsidR="00A536F7" w:rsidRPr="00DB4454" w14:paraId="6512AEDC"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631024D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Categorical Encoding</w:t>
            </w:r>
          </w:p>
        </w:tc>
        <w:tc>
          <w:tcPr>
            <w:tcW w:w="0" w:type="auto"/>
            <w:hideMark/>
          </w:tcPr>
          <w:p w14:paraId="7D6349C9"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Convert categorical variables for modelling</w:t>
            </w:r>
          </w:p>
        </w:tc>
      </w:tr>
      <w:tr w:rsidR="00A536F7" w:rsidRPr="00DB4454" w14:paraId="296CDF66"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B1E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Time Feature Engineering</w:t>
            </w:r>
          </w:p>
        </w:tc>
        <w:tc>
          <w:tcPr>
            <w:tcW w:w="0" w:type="auto"/>
            <w:hideMark/>
          </w:tcPr>
          <w:p w14:paraId="434E2EF9"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Extract temporal characteristics</w:t>
            </w:r>
          </w:p>
        </w:tc>
      </w:tr>
      <w:tr w:rsidR="00A536F7" w:rsidRPr="00DB4454" w14:paraId="7B993AA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50C316D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Lag Features</w:t>
            </w:r>
          </w:p>
        </w:tc>
        <w:tc>
          <w:tcPr>
            <w:tcW w:w="0" w:type="auto"/>
            <w:hideMark/>
          </w:tcPr>
          <w:p w14:paraId="674FCDD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Capture historical energy behaviour</w:t>
            </w:r>
          </w:p>
        </w:tc>
      </w:tr>
      <w:tr w:rsidR="00A536F7" w:rsidRPr="00DB4454" w14:paraId="00388DB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BE851"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Rolling Statistics</w:t>
            </w:r>
          </w:p>
        </w:tc>
        <w:tc>
          <w:tcPr>
            <w:tcW w:w="0" w:type="auto"/>
            <w:hideMark/>
          </w:tcPr>
          <w:p w14:paraId="06BC489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Capture short- and long-term trends</w:t>
            </w:r>
          </w:p>
        </w:tc>
      </w:tr>
      <w:tr w:rsidR="00A536F7" w:rsidRPr="00DB4454" w14:paraId="2E0C49D1"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4A0567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Cyclical Encoding</w:t>
            </w:r>
          </w:p>
        </w:tc>
        <w:tc>
          <w:tcPr>
            <w:tcW w:w="0" w:type="auto"/>
            <w:hideMark/>
          </w:tcPr>
          <w:p w14:paraId="66217ED9"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Represent circular time relationships</w:t>
            </w:r>
          </w:p>
        </w:tc>
      </w:tr>
    </w:tbl>
    <w:p w14:paraId="62F65B8C" w14:textId="77777777" w:rsidR="001C5A39" w:rsidRPr="00DB4454" w:rsidRDefault="001C5A39" w:rsidP="00B178DE">
      <w:pPr>
        <w:spacing w:line="360" w:lineRule="auto"/>
        <w:jc w:val="both"/>
        <w:rPr>
          <w:rFonts w:ascii="Times New Roman" w:hAnsi="Times New Roman" w:cs="Times New Roman"/>
        </w:rPr>
      </w:pPr>
    </w:p>
    <w:p w14:paraId="2878B410" w14:textId="55B6DAD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These methods are suitable because industrial energy consumption depends on recent observations, time of day, weekday/weekend behaviour, seasonality, and load type. </w:t>
      </w:r>
    </w:p>
    <w:p w14:paraId="39A09B2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3.7 Description of Preprocessing</w:t>
      </w:r>
    </w:p>
    <w:p w14:paraId="616E3DF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Duplicate Removal: Duplicate records are removed so that repeated observations do not disproportionately influence the forecasting model. </w:t>
      </w:r>
    </w:p>
    <w:p w14:paraId="5D4B985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Datetime Conversion: The date field is converted into a standard datetime format, allowing features such as hour, day, month, weekday, and weekend status to be extracted. </w:t>
      </w:r>
    </w:p>
    <w:p w14:paraId="38207E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Numeric Conversion: Energy consumption, reactive power, carbon-related values, power factor, and NSM are converted into numerical values, with invalid values treated as missing. </w:t>
      </w:r>
    </w:p>
    <w:p w14:paraId="51B30A5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Missing-Value Handling: Missing values are handled using forward-fill followed by backward-fill. This approach is suitable for short gaps in continuous sensor-style data. </w:t>
      </w:r>
    </w:p>
    <w:p w14:paraId="5CA0922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Categorical Encoding: WeekStatus, Day_of_week, and Load_Type are encoded so that weekday/weekend conditions and load categories can be incorporated into the forecasting models. </w:t>
      </w:r>
    </w:p>
    <w:p w14:paraId="1714E21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3.8 Time-Based Feature Engineering</w:t>
      </w:r>
    </w:p>
    <w:p w14:paraId="1732CEC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Time-based features such as hour, day, month, day of week, and weekend indicators are extracted from the timestamp. Cyclical encoding is also applied using hour_sin/hour_cos and month_sin/month_cos. This represents the circular nature of time, where values such as 23:00 and 00:00 are temporally close. </w:t>
      </w:r>
    </w:p>
    <w:p w14:paraId="1334294D"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3.9 Lag Feature Engineering</w:t>
      </w:r>
    </w:p>
    <w:p w14:paraId="5321237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Lag features capture previous energy-consumption behaviour:</w:t>
      </w:r>
    </w:p>
    <w:tbl>
      <w:tblPr>
        <w:tblStyle w:val="PlainTable1"/>
        <w:tblW w:w="0" w:type="auto"/>
        <w:tblLook w:val="04A0" w:firstRow="1" w:lastRow="0" w:firstColumn="1" w:lastColumn="0" w:noHBand="0" w:noVBand="1"/>
      </w:tblPr>
      <w:tblGrid>
        <w:gridCol w:w="2176"/>
        <w:gridCol w:w="3183"/>
      </w:tblGrid>
      <w:tr w:rsidR="00A536F7" w:rsidRPr="00DB4454" w14:paraId="4FB222AF"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BA5A4"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Feature</w:t>
            </w:r>
          </w:p>
        </w:tc>
        <w:tc>
          <w:tcPr>
            <w:tcW w:w="0" w:type="auto"/>
            <w:hideMark/>
          </w:tcPr>
          <w:p w14:paraId="0BEE4AA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Meaning</w:t>
            </w:r>
          </w:p>
        </w:tc>
      </w:tr>
      <w:tr w:rsidR="00A536F7" w:rsidRPr="00DB4454" w14:paraId="7AEE57A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97AB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Usage_kWh_lag_1</w:t>
            </w:r>
          </w:p>
        </w:tc>
        <w:tc>
          <w:tcPr>
            <w:tcW w:w="0" w:type="auto"/>
            <w:hideMark/>
          </w:tcPr>
          <w:p w14:paraId="3B16F629"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15-minute value</w:t>
            </w:r>
          </w:p>
        </w:tc>
      </w:tr>
      <w:tr w:rsidR="00A536F7" w:rsidRPr="00DB4454" w14:paraId="53FC5D39"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4A4F2C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Usage_kWh_lag_2</w:t>
            </w:r>
          </w:p>
        </w:tc>
        <w:tc>
          <w:tcPr>
            <w:tcW w:w="0" w:type="auto"/>
            <w:hideMark/>
          </w:tcPr>
          <w:p w14:paraId="6702081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30-minute value</w:t>
            </w:r>
          </w:p>
        </w:tc>
      </w:tr>
      <w:tr w:rsidR="00A536F7" w:rsidRPr="00DB4454" w14:paraId="31DD7AD7"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146E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Usage_kWh_lag_4</w:t>
            </w:r>
          </w:p>
        </w:tc>
        <w:tc>
          <w:tcPr>
            <w:tcW w:w="0" w:type="auto"/>
            <w:hideMark/>
          </w:tcPr>
          <w:p w14:paraId="4758B9D2"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Previous 1-hour value</w:t>
            </w:r>
          </w:p>
        </w:tc>
      </w:tr>
      <w:tr w:rsidR="00A536F7" w:rsidRPr="00DB4454" w14:paraId="306245FE"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8BE63D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Usage_kWh_lag_96</w:t>
            </w:r>
          </w:p>
        </w:tc>
        <w:tc>
          <w:tcPr>
            <w:tcW w:w="0" w:type="auto"/>
            <w:hideMark/>
          </w:tcPr>
          <w:p w14:paraId="5B0A2CB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Same time on the previous day</w:t>
            </w:r>
          </w:p>
        </w:tc>
      </w:tr>
    </w:tbl>
    <w:p w14:paraId="7679338B" w14:textId="77777777" w:rsidR="001C5A39" w:rsidRPr="00DB4454" w:rsidRDefault="001C5A39" w:rsidP="00B178DE">
      <w:pPr>
        <w:spacing w:line="360" w:lineRule="auto"/>
        <w:jc w:val="both"/>
        <w:rPr>
          <w:rFonts w:ascii="Times New Roman" w:hAnsi="Times New Roman" w:cs="Times New Roman"/>
        </w:rPr>
      </w:pPr>
    </w:p>
    <w:p w14:paraId="4523EF20" w14:textId="19413ACB"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lag-96 feature is particularly useful because 96 fifteen-minute intervals make up one day, allowing the model to compare current consumption with the same time on the previous day. </w:t>
      </w:r>
    </w:p>
    <w:p w14:paraId="0E996DE7"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3.10 Rolling Statistical Features</w:t>
      </w:r>
    </w:p>
    <w:p w14:paraId="2F19F12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Rolling statistics are calculated over 4 and 96 intervals, including mean, standard deviation, minimum, and maximum. These features capture short-term changes and daily consumption patterns. An Exponentially Weighted Moving Average (EWMA) is also used to give greater importance to recent observations. </w:t>
      </w:r>
    </w:p>
    <w:p w14:paraId="1144AAB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3.11 Training and Testing Data</w:t>
      </w:r>
    </w:p>
    <w:p w14:paraId="1256615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After preprocessing and feature engineering, the dataset is divided chronologically into 80% training data and 20% testing data. A chronological split prevents future information from entering the training data and provides a more realistic evaluation of forecasting performance. </w:t>
      </w:r>
    </w:p>
    <w:p w14:paraId="16E0E9D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Industrial Energy Dataset → 80% Training + 20% Testing → Chronological Evaluation</w:t>
      </w:r>
    </w:p>
    <w:p w14:paraId="4D77055D"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3.12 Outcome of Preprocessing</w:t>
      </w:r>
    </w:p>
    <w:p w14:paraId="6A15A61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The preprocessing stage produces a clean and forecasting-ready dataset containing timestamps, numerical and categorical variables, calendar features, lag features, rolling statistics, cyclical encodings, and training/testing partitions. </w:t>
      </w:r>
    </w:p>
    <w:p w14:paraId="3DFA0C7A" w14:textId="77777777" w:rsidR="00DB4454" w:rsidRDefault="00DB4454" w:rsidP="00B178DE">
      <w:pPr>
        <w:spacing w:line="360" w:lineRule="auto"/>
        <w:jc w:val="both"/>
        <w:rPr>
          <w:rFonts w:ascii="Times New Roman" w:hAnsi="Times New Roman" w:cs="Times New Roman"/>
          <w:b/>
          <w:bCs/>
          <w:sz w:val="28"/>
          <w:szCs w:val="28"/>
        </w:rPr>
      </w:pPr>
    </w:p>
    <w:p w14:paraId="0BFB1512" w14:textId="08143E1A"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4. MODEL DEVELOPMENT &amp; METHODOLOGY</w:t>
      </w:r>
    </w:p>
    <w:p w14:paraId="3A63FBDA"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 Overall Methodology</w:t>
      </w:r>
    </w:p>
    <w:p w14:paraId="28C1A96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proposed system follows a predict-then-optimize methodology. First, historical industrial energy data is used to predict future energy behaviour. These forecasts are then combined with electricity tariffs and manufacturing constraints to generate an energy-aware production schedule. </w:t>
      </w:r>
    </w:p>
    <w:p w14:paraId="0F1C23EA" w14:textId="77777777" w:rsidR="0060417E" w:rsidRPr="00DB4454" w:rsidRDefault="00A536F7" w:rsidP="00B178DE">
      <w:pPr>
        <w:spacing w:line="360" w:lineRule="auto"/>
        <w:rPr>
          <w:rFonts w:ascii="Times New Roman" w:hAnsi="Times New Roman" w:cs="Times New Roman"/>
          <w:noProof/>
        </w:rPr>
      </w:pPr>
      <w:r w:rsidRPr="00DB4454">
        <w:rPr>
          <w:rFonts w:ascii="Times New Roman" w:hAnsi="Times New Roman" w:cs="Times New Roman"/>
        </w:rPr>
        <w:t>The</w:t>
      </w:r>
      <w:r w:rsidR="00E844D5" w:rsidRPr="00DB4454">
        <w:rPr>
          <w:rFonts w:ascii="Times New Roman" w:hAnsi="Times New Roman" w:cs="Times New Roman"/>
        </w:rPr>
        <w:t xml:space="preserve"> </w:t>
      </w:r>
      <w:r w:rsidRPr="00DB4454">
        <w:rPr>
          <w:rFonts w:ascii="Times New Roman" w:hAnsi="Times New Roman" w:cs="Times New Roman"/>
        </w:rPr>
        <w:t>overall process is:</w:t>
      </w:r>
    </w:p>
    <w:p w14:paraId="0F75C27F" w14:textId="072D60F4" w:rsidR="00E844D5" w:rsidRPr="00DB4454" w:rsidRDefault="0060417E" w:rsidP="00B178DE">
      <w:pPr>
        <w:spacing w:line="360" w:lineRule="auto"/>
        <w:rPr>
          <w:rFonts w:ascii="Times New Roman" w:hAnsi="Times New Roman" w:cs="Times New Roman"/>
        </w:rPr>
      </w:pPr>
      <w:r w:rsidRPr="00DB4454">
        <w:rPr>
          <w:rFonts w:ascii="Times New Roman" w:hAnsi="Times New Roman" w:cs="Times New Roman"/>
          <w:noProof/>
        </w:rPr>
        <w:drawing>
          <wp:inline distT="0" distB="0" distL="0" distR="0" wp14:anchorId="7B9202CD" wp14:editId="04A8F316">
            <wp:extent cx="5731510" cy="1714500"/>
            <wp:effectExtent l="0" t="0" r="2540" b="0"/>
            <wp:docPr id="15041940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
                    <pic:cNvPicPr>
                      <a:picLocks noChangeAspect="1" noChangeArrowheads="1"/>
                    </pic:cNvPicPr>
                  </pic:nvPicPr>
                  <pic:blipFill rotWithShape="1">
                    <a:blip r:embed="rId9">
                      <a:extLst>
                        <a:ext uri="{28A0092B-C50C-407E-A947-70E740481C1C}">
                          <a14:useLocalDpi xmlns:a14="http://schemas.microsoft.com/office/drawing/2010/main" val="0"/>
                        </a:ext>
                      </a:extLst>
                    </a:blip>
                    <a:srcRect t="19396" b="22734"/>
                    <a:stretch>
                      <a:fillRect/>
                    </a:stretch>
                  </pic:blipFill>
                  <pic:spPr bwMode="auto">
                    <a:xfrm>
                      <a:off x="0" y="0"/>
                      <a:ext cx="5731510" cy="1714500"/>
                    </a:xfrm>
                    <a:prstGeom prst="rect">
                      <a:avLst/>
                    </a:prstGeom>
                    <a:noFill/>
                    <a:ln>
                      <a:noFill/>
                    </a:ln>
                    <a:extLst>
                      <a:ext uri="{53640926-AAD7-44D8-BBD7-CCE9431645EC}">
                        <a14:shadowObscured xmlns:a14="http://schemas.microsoft.com/office/drawing/2010/main"/>
                      </a:ext>
                    </a:extLst>
                  </pic:spPr>
                </pic:pic>
              </a:graphicData>
            </a:graphic>
          </wp:inline>
        </w:drawing>
      </w:r>
    </w:p>
    <w:p w14:paraId="01745428" w14:textId="77777777" w:rsidR="0060417E" w:rsidRPr="00DB4454" w:rsidRDefault="0060417E" w:rsidP="00B178DE">
      <w:pPr>
        <w:spacing w:line="360" w:lineRule="auto"/>
        <w:jc w:val="both"/>
        <w:rPr>
          <w:rFonts w:ascii="Times New Roman" w:hAnsi="Times New Roman" w:cs="Times New Roman"/>
          <w:b/>
          <w:bCs/>
        </w:rPr>
      </w:pPr>
    </w:p>
    <w:p w14:paraId="71B34AFB" w14:textId="60824A96"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4.2 Model Selection</w:t>
      </w:r>
    </w:p>
    <w:p w14:paraId="065072A7"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uses XGBoost regression for energy forecasting and OR-Tools CP-SAT for scheduling optimization. In addition, FD-PDTS is used as the proposed energy-aware scheduling heuristic. </w:t>
      </w:r>
    </w:p>
    <w:tbl>
      <w:tblPr>
        <w:tblStyle w:val="PlainTable1"/>
        <w:tblW w:w="0" w:type="auto"/>
        <w:tblLook w:val="04A0" w:firstRow="1" w:lastRow="0" w:firstColumn="1" w:lastColumn="0" w:noHBand="0" w:noVBand="1"/>
      </w:tblPr>
      <w:tblGrid>
        <w:gridCol w:w="2529"/>
        <w:gridCol w:w="2020"/>
        <w:gridCol w:w="3375"/>
      </w:tblGrid>
      <w:tr w:rsidR="00A536F7" w:rsidRPr="00DB4454" w14:paraId="2DAA6F12"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B20B2"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Component</w:t>
            </w:r>
          </w:p>
        </w:tc>
        <w:tc>
          <w:tcPr>
            <w:tcW w:w="0" w:type="auto"/>
            <w:hideMark/>
          </w:tcPr>
          <w:p w14:paraId="7832370F"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Selected Method</w:t>
            </w:r>
          </w:p>
        </w:tc>
        <w:tc>
          <w:tcPr>
            <w:tcW w:w="0" w:type="auto"/>
            <w:hideMark/>
          </w:tcPr>
          <w:p w14:paraId="397737F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3C943438"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3E0C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Energy Forecasting</w:t>
            </w:r>
          </w:p>
        </w:tc>
        <w:tc>
          <w:tcPr>
            <w:tcW w:w="0" w:type="auto"/>
            <w:hideMark/>
          </w:tcPr>
          <w:p w14:paraId="3E83FB74"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XGBoost</w:t>
            </w:r>
          </w:p>
        </w:tc>
        <w:tc>
          <w:tcPr>
            <w:tcW w:w="0" w:type="auto"/>
            <w:hideMark/>
          </w:tcPr>
          <w:p w14:paraId="68526908"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Predict future energy behaviour</w:t>
            </w:r>
          </w:p>
        </w:tc>
      </w:tr>
      <w:tr w:rsidR="00A536F7" w:rsidRPr="00DB4454" w14:paraId="0F7087D0"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CA419C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Uncertainty Forecasting</w:t>
            </w:r>
          </w:p>
        </w:tc>
        <w:tc>
          <w:tcPr>
            <w:tcW w:w="0" w:type="auto"/>
            <w:hideMark/>
          </w:tcPr>
          <w:p w14:paraId="5E7E453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Quantile XGBoost</w:t>
            </w:r>
          </w:p>
        </w:tc>
        <w:tc>
          <w:tcPr>
            <w:tcW w:w="0" w:type="auto"/>
            <w:hideMark/>
          </w:tcPr>
          <w:p w14:paraId="2D32C306"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Generate p10, p50, p90 forecasts</w:t>
            </w:r>
          </w:p>
        </w:tc>
      </w:tr>
      <w:tr w:rsidR="00A536F7" w:rsidRPr="00DB4454" w14:paraId="219D949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6E6BD"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Scheduling Heuristic</w:t>
            </w:r>
          </w:p>
        </w:tc>
        <w:tc>
          <w:tcPr>
            <w:tcW w:w="0" w:type="auto"/>
            <w:hideMark/>
          </w:tcPr>
          <w:p w14:paraId="689ED8FE"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FD-PDTS</w:t>
            </w:r>
          </w:p>
        </w:tc>
        <w:tc>
          <w:tcPr>
            <w:tcW w:w="0" w:type="auto"/>
            <w:hideMark/>
          </w:tcPr>
          <w:p w14:paraId="30F77DB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Energy-aware job dispatching</w:t>
            </w:r>
          </w:p>
        </w:tc>
      </w:tr>
      <w:tr w:rsidR="00A536F7" w:rsidRPr="00DB4454" w14:paraId="7E25436B"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55B366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lastRenderedPageBreak/>
              <w:t>Optimization</w:t>
            </w:r>
          </w:p>
        </w:tc>
        <w:tc>
          <w:tcPr>
            <w:tcW w:w="0" w:type="auto"/>
            <w:hideMark/>
          </w:tcPr>
          <w:p w14:paraId="074318C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OR-Tools CP-SAT</w:t>
            </w:r>
          </w:p>
        </w:tc>
        <w:tc>
          <w:tcPr>
            <w:tcW w:w="0" w:type="auto"/>
            <w:hideMark/>
          </w:tcPr>
          <w:p w14:paraId="341AAB2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Refine and optimize schedules</w:t>
            </w:r>
          </w:p>
        </w:tc>
      </w:tr>
      <w:tr w:rsidR="00A536F7" w:rsidRPr="00DB4454" w14:paraId="3568AD8D"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865EA"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Backend</w:t>
            </w:r>
          </w:p>
        </w:tc>
        <w:tc>
          <w:tcPr>
            <w:tcW w:w="0" w:type="auto"/>
            <w:hideMark/>
          </w:tcPr>
          <w:p w14:paraId="4F8AC09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FastAPI</w:t>
            </w:r>
          </w:p>
        </w:tc>
        <w:tc>
          <w:tcPr>
            <w:tcW w:w="0" w:type="auto"/>
            <w:hideMark/>
          </w:tcPr>
          <w:p w14:paraId="190A263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Provide system outputs</w:t>
            </w:r>
          </w:p>
        </w:tc>
      </w:tr>
      <w:tr w:rsidR="00A536F7" w:rsidRPr="00DB4454" w14:paraId="50D79F0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BD6BC1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Visualization</w:t>
            </w:r>
          </w:p>
        </w:tc>
        <w:tc>
          <w:tcPr>
            <w:tcW w:w="0" w:type="auto"/>
            <w:hideMark/>
          </w:tcPr>
          <w:p w14:paraId="47FA64DE"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Web Dashboard</w:t>
            </w:r>
          </w:p>
        </w:tc>
        <w:tc>
          <w:tcPr>
            <w:tcW w:w="0" w:type="auto"/>
            <w:hideMark/>
          </w:tcPr>
          <w:p w14:paraId="6BFC806C"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Display schedules and KPIs</w:t>
            </w:r>
          </w:p>
        </w:tc>
      </w:tr>
    </w:tbl>
    <w:p w14:paraId="1D0732FC" w14:textId="77777777" w:rsidR="00A536F7" w:rsidRPr="00DB4454" w:rsidRDefault="00A536F7" w:rsidP="00B178DE">
      <w:pPr>
        <w:spacing w:line="360" w:lineRule="auto"/>
        <w:jc w:val="both"/>
        <w:rPr>
          <w:rFonts w:ascii="Times New Roman" w:hAnsi="Times New Roman" w:cs="Times New Roman"/>
        </w:rPr>
      </w:pPr>
    </w:p>
    <w:p w14:paraId="501C570F" w14:textId="77777777" w:rsidR="00E844D5" w:rsidRPr="00DB4454" w:rsidRDefault="00E844D5" w:rsidP="00B178DE">
      <w:pPr>
        <w:spacing w:line="360" w:lineRule="auto"/>
        <w:jc w:val="both"/>
        <w:rPr>
          <w:rFonts w:ascii="Times New Roman" w:hAnsi="Times New Roman" w:cs="Times New Roman"/>
        </w:rPr>
      </w:pPr>
    </w:p>
    <w:p w14:paraId="7AFCA9AE" w14:textId="551B8D43"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4.3 Justification for XGBoost</w:t>
      </w:r>
    </w:p>
    <w:p w14:paraId="4A0665C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XGBoost is selected because the dataset contains structured tabular data combined with engineered time-series features. It can capture nonlinear relationships between energy consumption and factors such as historical usage, time of day, calendar information, load type, and rolling statistics. Its computational efficiency and support for quantile regression also make it suitable for the forecasting stage. </w:t>
      </w:r>
    </w:p>
    <w:p w14:paraId="278A8300" w14:textId="77777777" w:rsidR="0060417E" w:rsidRPr="00DB4454" w:rsidRDefault="0060417E" w:rsidP="00B178DE">
      <w:pPr>
        <w:spacing w:line="360" w:lineRule="auto"/>
        <w:jc w:val="both"/>
        <w:rPr>
          <w:rFonts w:ascii="Times New Roman" w:hAnsi="Times New Roman" w:cs="Times New Roman"/>
          <w:b/>
          <w:bCs/>
        </w:rPr>
      </w:pPr>
    </w:p>
    <w:p w14:paraId="727A8C87" w14:textId="212F1D7A"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4.4 Justification for CP-SAT</w:t>
      </w:r>
    </w:p>
    <w:p w14:paraId="626E1B1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Manufacturing scheduling contains several combinatorial constraints, including machine compatibility, non-overlapping jobs, processing intervals, deadlines, and machine assignments. OR-Tools CP-SAT supports these constraints through optional intervals, non-overlap constraints, and weighted optimization objectives, making it suitable for refining the generated schedules. </w:t>
      </w:r>
    </w:p>
    <w:p w14:paraId="5F3B7FAB" w14:textId="77777777" w:rsidR="0060417E" w:rsidRPr="00DB4454" w:rsidRDefault="0060417E" w:rsidP="00B178DE">
      <w:pPr>
        <w:spacing w:line="360" w:lineRule="auto"/>
        <w:jc w:val="both"/>
        <w:rPr>
          <w:rFonts w:ascii="Times New Roman" w:hAnsi="Times New Roman" w:cs="Times New Roman"/>
          <w:b/>
          <w:bCs/>
        </w:rPr>
      </w:pPr>
    </w:p>
    <w:p w14:paraId="3511371D" w14:textId="07D05AE4"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4.5 XGBoost Forecasting Model</w:t>
      </w:r>
    </w:p>
    <w:p w14:paraId="707C288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forecasting component uses seven XGBoost models to predict energy usage, carbon-related values, and power factor. Energy usage and carbon values are predicted using p10, p50, and p90 quantiles, while power factor uses a p50 prediction. </w:t>
      </w:r>
    </w:p>
    <w:p w14:paraId="662AB5F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quantiles represent different prediction levels:</w:t>
      </w:r>
    </w:p>
    <w:p w14:paraId="0F932A6F"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p10: Lower prediction estimate </w:t>
      </w:r>
    </w:p>
    <w:p w14:paraId="1BCFA12B"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p50: Median prediction </w:t>
      </w:r>
    </w:p>
    <w:p w14:paraId="0766B4FC" w14:textId="77777777" w:rsidR="00A536F7" w:rsidRPr="00DB4454" w:rsidRDefault="00A536F7" w:rsidP="00B178DE">
      <w:pPr>
        <w:numPr>
          <w:ilvl w:val="0"/>
          <w:numId w:val="4"/>
        </w:numPr>
        <w:spacing w:line="360" w:lineRule="auto"/>
        <w:jc w:val="both"/>
        <w:rPr>
          <w:rFonts w:ascii="Times New Roman" w:hAnsi="Times New Roman" w:cs="Times New Roman"/>
        </w:rPr>
      </w:pPr>
      <w:r w:rsidRPr="00DB4454">
        <w:rPr>
          <w:rFonts w:ascii="Times New Roman" w:hAnsi="Times New Roman" w:cs="Times New Roman"/>
        </w:rPr>
        <w:t xml:space="preserve">p90: Upper prediction estimate </w:t>
      </w:r>
    </w:p>
    <w:p w14:paraId="0A39CA2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These predictions provide an indication of uncertainty in future energy and carbon behaviour. </w:t>
      </w:r>
    </w:p>
    <w:p w14:paraId="244935BB" w14:textId="77777777" w:rsidR="00A536F7" w:rsidRPr="00DB4454" w:rsidRDefault="00A536F7" w:rsidP="00B178DE">
      <w:pPr>
        <w:spacing w:line="360" w:lineRule="auto"/>
        <w:jc w:val="both"/>
        <w:rPr>
          <w:rFonts w:ascii="Times New Roman" w:hAnsi="Times New Roman" w:cs="Times New Roman"/>
          <w:b/>
          <w:bCs/>
        </w:rPr>
      </w:pPr>
    </w:p>
    <w:p w14:paraId="660D83F3" w14:textId="1A9D6C1C"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4.6 Load-Based Model Weighting</w:t>
      </w:r>
    </w:p>
    <w:p w14:paraId="2F8BE1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Maximum-load observations receive greater training importance because peak periods have both higher energy costs and greater relevance to the scheduling problem. </w:t>
      </w:r>
    </w:p>
    <w:tbl>
      <w:tblPr>
        <w:tblStyle w:val="PlainTable1"/>
        <w:tblW w:w="0" w:type="auto"/>
        <w:tblLook w:val="04A0" w:firstRow="1" w:lastRow="0" w:firstColumn="1" w:lastColumn="0" w:noHBand="0" w:noVBand="1"/>
      </w:tblPr>
      <w:tblGrid>
        <w:gridCol w:w="1770"/>
        <w:gridCol w:w="1895"/>
      </w:tblGrid>
      <w:tr w:rsidR="00A536F7" w:rsidRPr="00DB4454" w14:paraId="13F7539D"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AB519"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Load Type</w:t>
            </w:r>
          </w:p>
        </w:tc>
        <w:tc>
          <w:tcPr>
            <w:tcW w:w="0" w:type="auto"/>
            <w:hideMark/>
          </w:tcPr>
          <w:p w14:paraId="61123E92"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Training Weight</w:t>
            </w:r>
          </w:p>
        </w:tc>
      </w:tr>
      <w:tr w:rsidR="00A536F7" w:rsidRPr="00DB4454" w14:paraId="22AA9AB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F691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Light Load</w:t>
            </w:r>
          </w:p>
        </w:tc>
        <w:tc>
          <w:tcPr>
            <w:tcW w:w="0" w:type="auto"/>
            <w:hideMark/>
          </w:tcPr>
          <w:p w14:paraId="0B7F0334"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1.0</w:t>
            </w:r>
          </w:p>
        </w:tc>
      </w:tr>
      <w:tr w:rsidR="00A536F7" w:rsidRPr="00DB4454" w14:paraId="36D7D4D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5FD1FA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 Load</w:t>
            </w:r>
          </w:p>
        </w:tc>
        <w:tc>
          <w:tcPr>
            <w:tcW w:w="0" w:type="auto"/>
            <w:hideMark/>
          </w:tcPr>
          <w:p w14:paraId="5AB397EA"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1.5</w:t>
            </w:r>
          </w:p>
        </w:tc>
      </w:tr>
      <w:tr w:rsidR="00A536F7" w:rsidRPr="00DB4454" w14:paraId="4C6F4964"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CCDA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Load</w:t>
            </w:r>
          </w:p>
        </w:tc>
        <w:tc>
          <w:tcPr>
            <w:tcW w:w="0" w:type="auto"/>
            <w:hideMark/>
          </w:tcPr>
          <w:p w14:paraId="3339D36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3.0</w:t>
            </w:r>
          </w:p>
        </w:tc>
      </w:tr>
    </w:tbl>
    <w:p w14:paraId="54A09974" w14:textId="77777777" w:rsidR="00DB4454" w:rsidRPr="00DB4454" w:rsidRDefault="00DB4454" w:rsidP="00B178DE">
      <w:pPr>
        <w:spacing w:line="360" w:lineRule="auto"/>
        <w:jc w:val="both"/>
        <w:rPr>
          <w:rFonts w:ascii="Times New Roman" w:hAnsi="Times New Roman" w:cs="Times New Roman"/>
          <w:b/>
          <w:bCs/>
        </w:rPr>
      </w:pPr>
    </w:p>
    <w:p w14:paraId="645F65A8" w14:textId="55718A54"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4.7 XGBoost Hyperparameters</w:t>
      </w:r>
    </w:p>
    <w:p w14:paraId="3ACBC03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primary XGBoost configuration is:</w:t>
      </w:r>
    </w:p>
    <w:tbl>
      <w:tblPr>
        <w:tblStyle w:val="PlainTable1"/>
        <w:tblW w:w="0" w:type="auto"/>
        <w:tblLook w:val="04A0" w:firstRow="1" w:lastRow="0" w:firstColumn="1" w:lastColumn="0" w:noHBand="0" w:noVBand="1"/>
      </w:tblPr>
      <w:tblGrid>
        <w:gridCol w:w="2557"/>
        <w:gridCol w:w="2105"/>
      </w:tblGrid>
      <w:tr w:rsidR="00A536F7" w:rsidRPr="00DB4454" w14:paraId="12B1D177"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8C954"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Hyperparameter</w:t>
            </w:r>
          </w:p>
        </w:tc>
        <w:tc>
          <w:tcPr>
            <w:tcW w:w="0" w:type="auto"/>
            <w:hideMark/>
          </w:tcPr>
          <w:p w14:paraId="417077D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Value</w:t>
            </w:r>
          </w:p>
        </w:tc>
      </w:tr>
      <w:tr w:rsidR="00A536F7" w:rsidRPr="00DB4454" w14:paraId="07F77E2C"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BD86B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Number of Estimators</w:t>
            </w:r>
          </w:p>
        </w:tc>
        <w:tc>
          <w:tcPr>
            <w:tcW w:w="0" w:type="auto"/>
            <w:hideMark/>
          </w:tcPr>
          <w:p w14:paraId="63E5F51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300</w:t>
            </w:r>
          </w:p>
        </w:tc>
      </w:tr>
      <w:tr w:rsidR="00A536F7" w:rsidRPr="00DB4454" w14:paraId="59E62D5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CB00E2A"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Maximum Depth</w:t>
            </w:r>
          </w:p>
        </w:tc>
        <w:tc>
          <w:tcPr>
            <w:tcW w:w="0" w:type="auto"/>
            <w:hideMark/>
          </w:tcPr>
          <w:p w14:paraId="491C333B"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5</w:t>
            </w:r>
          </w:p>
        </w:tc>
      </w:tr>
      <w:tr w:rsidR="00A536F7" w:rsidRPr="00DB4454" w14:paraId="3BCF4770"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5F9F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Learning Rate</w:t>
            </w:r>
          </w:p>
        </w:tc>
        <w:tc>
          <w:tcPr>
            <w:tcW w:w="0" w:type="auto"/>
            <w:hideMark/>
          </w:tcPr>
          <w:p w14:paraId="593405C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0.05</w:t>
            </w:r>
          </w:p>
        </w:tc>
      </w:tr>
      <w:tr w:rsidR="00A536F7" w:rsidRPr="00DB4454" w14:paraId="56DC20BC"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19F475D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Subsample</w:t>
            </w:r>
          </w:p>
        </w:tc>
        <w:tc>
          <w:tcPr>
            <w:tcW w:w="0" w:type="auto"/>
            <w:hideMark/>
          </w:tcPr>
          <w:p w14:paraId="5259B75C"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0.8</w:t>
            </w:r>
          </w:p>
        </w:tc>
      </w:tr>
      <w:tr w:rsidR="00A536F7" w:rsidRPr="00DB4454" w14:paraId="022D819B"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09DBE"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Column Sample by Tree</w:t>
            </w:r>
          </w:p>
        </w:tc>
        <w:tc>
          <w:tcPr>
            <w:tcW w:w="0" w:type="auto"/>
            <w:hideMark/>
          </w:tcPr>
          <w:p w14:paraId="25106CE0"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0.8</w:t>
            </w:r>
          </w:p>
        </w:tc>
      </w:tr>
      <w:tr w:rsidR="00A536F7" w:rsidRPr="00DB4454" w14:paraId="7A6448E3"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D1BB93"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Random Seed</w:t>
            </w:r>
          </w:p>
        </w:tc>
        <w:tc>
          <w:tcPr>
            <w:tcW w:w="0" w:type="auto"/>
            <w:hideMark/>
          </w:tcPr>
          <w:p w14:paraId="5715CCF2"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42</w:t>
            </w:r>
          </w:p>
        </w:tc>
      </w:tr>
      <w:tr w:rsidR="00A536F7" w:rsidRPr="00DB4454" w14:paraId="478B6D67"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D18A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Number of Jobs</w:t>
            </w:r>
          </w:p>
        </w:tc>
        <w:tc>
          <w:tcPr>
            <w:tcW w:w="0" w:type="auto"/>
            <w:hideMark/>
          </w:tcPr>
          <w:p w14:paraId="4CB7F05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All Available Cores</w:t>
            </w:r>
          </w:p>
        </w:tc>
      </w:tr>
    </w:tbl>
    <w:p w14:paraId="6029D6C9" w14:textId="77777777" w:rsidR="00A536F7" w:rsidRPr="00DB4454" w:rsidRDefault="00A536F7" w:rsidP="00B178DE">
      <w:pPr>
        <w:spacing w:line="360" w:lineRule="auto"/>
        <w:jc w:val="both"/>
        <w:rPr>
          <w:rFonts w:ascii="Times New Roman" w:hAnsi="Times New Roman" w:cs="Times New Roman"/>
        </w:rPr>
      </w:pPr>
    </w:p>
    <w:p w14:paraId="7D7A6B7E" w14:textId="4E737F57" w:rsidR="00A536F7" w:rsidRPr="00B178DE"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4.8 Forecasting Process</w:t>
      </w:r>
      <w:r w:rsidRPr="00DB4454">
        <w:rPr>
          <w:rFonts w:ascii="Times New Roman" w:hAnsi="Times New Roman" w:cs="Times New Roman"/>
        </w:rPr>
        <w:t>The forecasting stage uses the cleaned and feature-engineered energy dataset to train the XGBoost models. The trained quantile models then generate a 48-hour energy forecast, which is provided to the scheduling stage. Historical Energy Data → Feature Engineering → XGBoost Training → Quantile Models → p10/p50/p90 → 48-Hour Forecast</w:t>
      </w:r>
    </w:p>
    <w:p w14:paraId="5C7AC313" w14:textId="6D29949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4.9 Scheduling Algorithms</w:t>
      </w:r>
    </w:p>
    <w:p w14:paraId="6C9A84F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project compares conventional scheduling methods with proposed energy-aware approaches. </w:t>
      </w:r>
    </w:p>
    <w:p w14:paraId="7EEB17F8"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FCFS: Jobs are scheduled according to arrival time and assigned to a compatible machine that can complete them earliest. It is simple and fast but does not explicitly consider energy cost, tariffs, peak demand, or machine efficiency. </w:t>
      </w:r>
    </w:p>
    <w:p w14:paraId="1C03803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EDF: Jobs are prioritized according to deadline, priority, and arrival time. It is useful for deadline-oriented scheduling but does not directly optimize energy tariffs or power demand. </w:t>
      </w:r>
    </w:p>
    <w:p w14:paraId="4D5A0F2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FD-PDTS: Forecast-Driven Priority Dispatching with Tariff Shifting is the proposed heuristic. It uses energy forecasts, machine compatibility, machine power, tariff periods, job priority, waiting time, and deadlines to select suitable assignments. </w:t>
      </w:r>
    </w:p>
    <w:p w14:paraId="19E8D0DC" w14:textId="04B450C6"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High-priority jobs receive greater protection against delays, while medium- and low-priority jobs have more scheduling flexibility. </w:t>
      </w:r>
    </w:p>
    <w:p w14:paraId="5956ACA1" w14:textId="77777777" w:rsidR="00DB4454" w:rsidRDefault="00DB4454" w:rsidP="00B178DE">
      <w:pPr>
        <w:spacing w:line="360" w:lineRule="auto"/>
        <w:jc w:val="both"/>
        <w:rPr>
          <w:rFonts w:ascii="Times New Roman" w:hAnsi="Times New Roman" w:cs="Times New Roman"/>
          <w:b/>
          <w:bCs/>
        </w:rPr>
      </w:pPr>
    </w:p>
    <w:p w14:paraId="13A13E19" w14:textId="1034EC3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4.10 Priority-Based Tariff Shifting</w:t>
      </w:r>
    </w:p>
    <w:p w14:paraId="2BD80513"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Different job priorities are given different shifting limits:</w:t>
      </w:r>
    </w:p>
    <w:tbl>
      <w:tblPr>
        <w:tblStyle w:val="PlainTable1"/>
        <w:tblW w:w="0" w:type="auto"/>
        <w:tblLook w:val="04A0" w:firstRow="1" w:lastRow="0" w:firstColumn="1" w:lastColumn="0" w:noHBand="0" w:noVBand="1"/>
      </w:tblPr>
      <w:tblGrid>
        <w:gridCol w:w="1030"/>
        <w:gridCol w:w="1743"/>
        <w:gridCol w:w="1110"/>
      </w:tblGrid>
      <w:tr w:rsidR="00A536F7" w:rsidRPr="00DB4454" w14:paraId="64F44310"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76207"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Priority</w:t>
            </w:r>
          </w:p>
        </w:tc>
        <w:tc>
          <w:tcPr>
            <w:tcW w:w="0" w:type="auto"/>
            <w:hideMark/>
          </w:tcPr>
          <w:p w14:paraId="62885BE4"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DB4454">
              <w:rPr>
                <w:rFonts w:ascii="Times New Roman" w:hAnsi="Times New Roman" w:cs="Times New Roman"/>
                <w:b w:val="0"/>
                <w:bCs w:val="0"/>
              </w:rPr>
              <w:t>Maximum Shift</w:t>
            </w:r>
          </w:p>
        </w:tc>
        <w:tc>
          <w:tcPr>
            <w:tcW w:w="0" w:type="auto"/>
            <w:hideMark/>
          </w:tcPr>
          <w:p w14:paraId="243A2042"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DB4454">
              <w:rPr>
                <w:rFonts w:ascii="Times New Roman" w:hAnsi="Times New Roman" w:cs="Times New Roman"/>
                <w:b w:val="0"/>
                <w:bCs w:val="0"/>
              </w:rPr>
              <w:t>Time</w:t>
            </w:r>
          </w:p>
        </w:tc>
      </w:tr>
      <w:tr w:rsidR="00A536F7" w:rsidRPr="00DB4454" w14:paraId="59E7A698"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BDBAC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High</w:t>
            </w:r>
          </w:p>
        </w:tc>
        <w:tc>
          <w:tcPr>
            <w:tcW w:w="0" w:type="auto"/>
            <w:hideMark/>
          </w:tcPr>
          <w:p w14:paraId="4EB2D80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 slots</w:t>
            </w:r>
          </w:p>
        </w:tc>
        <w:tc>
          <w:tcPr>
            <w:tcW w:w="0" w:type="auto"/>
            <w:hideMark/>
          </w:tcPr>
          <w:p w14:paraId="3E15804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0 hours</w:t>
            </w:r>
          </w:p>
        </w:tc>
      </w:tr>
      <w:tr w:rsidR="00A536F7" w:rsidRPr="00DB4454" w14:paraId="0DFEA70B"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EEFDE5"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Medium</w:t>
            </w:r>
          </w:p>
        </w:tc>
        <w:tc>
          <w:tcPr>
            <w:tcW w:w="0" w:type="auto"/>
            <w:hideMark/>
          </w:tcPr>
          <w:p w14:paraId="398F0A84"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6 slots</w:t>
            </w:r>
          </w:p>
        </w:tc>
        <w:tc>
          <w:tcPr>
            <w:tcW w:w="0" w:type="auto"/>
            <w:hideMark/>
          </w:tcPr>
          <w:p w14:paraId="3F93390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1.5 hours</w:t>
            </w:r>
          </w:p>
        </w:tc>
      </w:tr>
      <w:tr w:rsidR="00A536F7" w:rsidRPr="00DB4454" w14:paraId="43EF2969"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B160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Low</w:t>
            </w:r>
          </w:p>
        </w:tc>
        <w:tc>
          <w:tcPr>
            <w:tcW w:w="0" w:type="auto"/>
            <w:hideMark/>
          </w:tcPr>
          <w:p w14:paraId="2A68095E"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8 slots</w:t>
            </w:r>
          </w:p>
        </w:tc>
        <w:tc>
          <w:tcPr>
            <w:tcW w:w="0" w:type="auto"/>
            <w:hideMark/>
          </w:tcPr>
          <w:p w14:paraId="743C2F4A"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2 hours</w:t>
            </w:r>
          </w:p>
        </w:tc>
      </w:tr>
    </w:tbl>
    <w:p w14:paraId="491480F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Since each slot represents 15 minutes, low-priority jobs have greater flexibility to move toward lower-cost periods. </w:t>
      </w:r>
    </w:p>
    <w:p w14:paraId="32A4DCE0"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4.11 Deterministic and Robust FD-PDTS</w:t>
      </w:r>
    </w:p>
    <w:p w14:paraId="79BA3FF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deterministic FD-PDTS uses normal electricity tariff values when evaluating candidate schedules. The robust FD-PDTS applies an 8% tariff bias during maximum-load periods to make the scheduler more conservative during high-cost periods. </w:t>
      </w:r>
    </w:p>
    <w:p w14:paraId="793592B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 xml:space="preserve">However, the current implementation produces identical results for deterministic and robust FD-PDTS. Therefore, the current experiment does not empirically demonstrate an improvement from the robust formulation. </w:t>
      </w:r>
    </w:p>
    <w:p w14:paraId="174B67F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4.12 Hybrid FD-PDTS + CP-SAT</w:t>
      </w:r>
    </w:p>
    <w:p w14:paraId="42DFC8E4"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approach combines the FD-PDTS heuristic with CP-SAT optimization. FD-PDTS first generates a feasible energy-aware schedule, which is then provided to CP-SAT as a warm start or optimization hint. CP-SAT further improves the schedule while maintaining manufacturing constraints. </w:t>
      </w:r>
    </w:p>
    <w:p w14:paraId="1E2AB71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Jobs → FD-PDTS → Initial Schedule → CP-SAT → Constraint Optimization → Final Schedule</w:t>
      </w:r>
    </w:p>
    <w:p w14:paraId="67BE7BD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CP-SAT model considers start and end times, compatible machine assignments, non-overlap constraints, energy cost, waiting-time penalties, and tardiness penalties. </w:t>
      </w:r>
    </w:p>
    <w:p w14:paraId="15CC3046" w14:textId="77777777" w:rsidR="0029072A" w:rsidRPr="00DB4454" w:rsidRDefault="0029072A" w:rsidP="00B178DE">
      <w:pPr>
        <w:spacing w:line="360" w:lineRule="auto"/>
        <w:jc w:val="both"/>
        <w:rPr>
          <w:rFonts w:ascii="Times New Roman" w:hAnsi="Times New Roman" w:cs="Times New Roman"/>
          <w:b/>
          <w:bCs/>
        </w:rPr>
      </w:pPr>
    </w:p>
    <w:p w14:paraId="11A0DCF1" w14:textId="7767E0F0"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4.13 Optimization Objective</w:t>
      </w:r>
    </w:p>
    <w:p w14:paraId="6348BF1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scheduling system balances multiple objectives. The documented configuration includes the following weights:</w:t>
      </w:r>
    </w:p>
    <w:tbl>
      <w:tblPr>
        <w:tblStyle w:val="PlainTable1"/>
        <w:tblW w:w="0" w:type="auto"/>
        <w:tblLook w:val="04A0" w:firstRow="1" w:lastRow="0" w:firstColumn="1" w:lastColumn="0" w:noHBand="0" w:noVBand="1"/>
      </w:tblPr>
      <w:tblGrid>
        <w:gridCol w:w="2283"/>
        <w:gridCol w:w="950"/>
      </w:tblGrid>
      <w:tr w:rsidR="00A536F7" w:rsidRPr="00DB4454" w14:paraId="17642A7E" w14:textId="77777777" w:rsidTr="00E84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90397"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Objective</w:t>
            </w:r>
          </w:p>
        </w:tc>
        <w:tc>
          <w:tcPr>
            <w:tcW w:w="0" w:type="auto"/>
            <w:hideMark/>
          </w:tcPr>
          <w:p w14:paraId="386BB74F"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Weight</w:t>
            </w:r>
          </w:p>
        </w:tc>
      </w:tr>
      <w:tr w:rsidR="00A536F7" w:rsidRPr="00DB4454" w14:paraId="39B78288" w14:textId="77777777" w:rsidTr="00E84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BEE09D"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Energy Cost</w:t>
            </w:r>
          </w:p>
        </w:tc>
        <w:tc>
          <w:tcPr>
            <w:tcW w:w="0" w:type="auto"/>
            <w:hideMark/>
          </w:tcPr>
          <w:p w14:paraId="4DBBD3C1"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20</w:t>
            </w:r>
          </w:p>
        </w:tc>
      </w:tr>
      <w:tr w:rsidR="00A536F7" w:rsidRPr="00DB4454" w14:paraId="36D736C3" w14:textId="77777777" w:rsidTr="00E844D5">
        <w:tc>
          <w:tcPr>
            <w:cnfStyle w:val="001000000000" w:firstRow="0" w:lastRow="0" w:firstColumn="1" w:lastColumn="0" w:oddVBand="0" w:evenVBand="0" w:oddHBand="0" w:evenHBand="0" w:firstRowFirstColumn="0" w:firstRowLastColumn="0" w:lastRowFirstColumn="0" w:lastRowLastColumn="0"/>
            <w:tcW w:w="0" w:type="auto"/>
            <w:hideMark/>
          </w:tcPr>
          <w:p w14:paraId="50177911"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Makespan</w:t>
            </w:r>
          </w:p>
        </w:tc>
        <w:tc>
          <w:tcPr>
            <w:tcW w:w="0" w:type="auto"/>
            <w:hideMark/>
          </w:tcPr>
          <w:p w14:paraId="2F8C5CF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5</w:t>
            </w:r>
          </w:p>
        </w:tc>
      </w:tr>
      <w:tr w:rsidR="00A536F7" w:rsidRPr="00DB4454" w14:paraId="595F18B5" w14:textId="77777777" w:rsidTr="00E84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CB82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Carbon Emissions</w:t>
            </w:r>
          </w:p>
        </w:tc>
        <w:tc>
          <w:tcPr>
            <w:tcW w:w="0" w:type="auto"/>
            <w:hideMark/>
          </w:tcPr>
          <w:p w14:paraId="751247F3"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8</w:t>
            </w:r>
          </w:p>
        </w:tc>
      </w:tr>
      <w:tr w:rsidR="00A536F7" w:rsidRPr="00DB4454" w14:paraId="4B007B08" w14:textId="77777777" w:rsidTr="00E844D5">
        <w:tc>
          <w:tcPr>
            <w:cnfStyle w:val="001000000000" w:firstRow="0" w:lastRow="0" w:firstColumn="1" w:lastColumn="0" w:oddVBand="0" w:evenVBand="0" w:oddHBand="0" w:evenHBand="0" w:firstRowFirstColumn="0" w:firstRowLastColumn="0" w:lastRowFirstColumn="0" w:lastRowLastColumn="0"/>
            <w:tcW w:w="0" w:type="auto"/>
            <w:hideMark/>
          </w:tcPr>
          <w:p w14:paraId="3043B3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Power Factor Penalty</w:t>
            </w:r>
          </w:p>
        </w:tc>
        <w:tc>
          <w:tcPr>
            <w:tcW w:w="0" w:type="auto"/>
            <w:hideMark/>
          </w:tcPr>
          <w:p w14:paraId="303A634E"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12</w:t>
            </w:r>
          </w:p>
        </w:tc>
      </w:tr>
    </w:tbl>
    <w:p w14:paraId="437ABA73" w14:textId="77777777" w:rsidR="00E844D5" w:rsidRPr="00DB4454" w:rsidRDefault="00E844D5" w:rsidP="00B178DE">
      <w:pPr>
        <w:spacing w:line="360" w:lineRule="auto"/>
        <w:jc w:val="both"/>
        <w:rPr>
          <w:rFonts w:ascii="Times New Roman" w:hAnsi="Times New Roman" w:cs="Times New Roman"/>
        </w:rPr>
      </w:pPr>
    </w:p>
    <w:p w14:paraId="6C7CB79F" w14:textId="0EF40BF0"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current implementation directly optimizes energy cost, tardiness, and waiting time through the active CP-SAT objective. Carbon emissions, peak load, idle energy, power factor, and explicit changeover logic are not currently direct CP-SAT objective terms. </w:t>
      </w:r>
    </w:p>
    <w:p w14:paraId="52C7733F" w14:textId="77777777" w:rsidR="0029072A" w:rsidRPr="00DB4454" w:rsidRDefault="0029072A" w:rsidP="00B178DE">
      <w:pPr>
        <w:spacing w:line="360" w:lineRule="auto"/>
        <w:jc w:val="both"/>
        <w:rPr>
          <w:rFonts w:ascii="Times New Roman" w:hAnsi="Times New Roman" w:cs="Times New Roman"/>
          <w:b/>
          <w:bCs/>
        </w:rPr>
      </w:pPr>
    </w:p>
    <w:p w14:paraId="079D472D" w14:textId="1E057789"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4.14 Complete Scheduling Methodology</w:t>
      </w:r>
    </w:p>
    <w:p w14:paraId="37C038E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The complete workflow is:</w:t>
      </w:r>
    </w:p>
    <w:p w14:paraId="4FBD5BB6" w14:textId="36C45206" w:rsidR="0029072A" w:rsidRPr="00B178DE" w:rsidRDefault="0029072A"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73024802" wp14:editId="78F2B2CF">
            <wp:extent cx="5731510" cy="3126105"/>
            <wp:effectExtent l="0" t="0" r="2540" b="0"/>
            <wp:docPr id="2208066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r w:rsidR="00A536F7" w:rsidRPr="00DB4454">
        <w:rPr>
          <w:rFonts w:ascii="Times New Roman" w:hAnsi="Times New Roman" w:cs="Times New Roman"/>
        </w:rPr>
        <w:t xml:space="preserve">This workflow integrates forecasting, energy-aware scheduling, optimization, KPI evaluation, and visualization into a single Manufacturing Analytics system. </w:t>
      </w:r>
    </w:p>
    <w:p w14:paraId="76DBF92D" w14:textId="489D25BB"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4.15 System Implementation</w:t>
      </w:r>
    </w:p>
    <w:p w14:paraId="6FF31CC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implementation generates schedules for all evaluated algorithms by identifying compatible machines and feasible start times for each job. Candidate assignments are evaluated using energy cost, waiting time, deadlines, machine constraints, and scheduling priorities. The final schedules and KPI results are provided through a FastAPI backend and web dashboard. </w:t>
      </w:r>
    </w:p>
    <w:p w14:paraId="643462A4" w14:textId="77777777" w:rsidR="0029072A" w:rsidRPr="00DB4454" w:rsidRDefault="0029072A" w:rsidP="00B178DE">
      <w:pPr>
        <w:spacing w:line="360" w:lineRule="auto"/>
        <w:jc w:val="both"/>
        <w:rPr>
          <w:rFonts w:ascii="Times New Roman" w:hAnsi="Times New Roman" w:cs="Times New Roman"/>
        </w:rPr>
      </w:pPr>
    </w:p>
    <w:p w14:paraId="26EFE499" w14:textId="77777777" w:rsidR="00A536F7" w:rsidRPr="00DB4454" w:rsidRDefault="00A536F7" w:rsidP="00B178DE">
      <w:pPr>
        <w:spacing w:line="360" w:lineRule="auto"/>
        <w:jc w:val="both"/>
        <w:rPr>
          <w:rFonts w:ascii="Times New Roman" w:hAnsi="Times New Roman" w:cs="Times New Roman"/>
          <w:b/>
          <w:bCs/>
          <w:sz w:val="28"/>
          <w:szCs w:val="28"/>
        </w:rPr>
      </w:pPr>
      <w:r w:rsidRPr="00DB4454">
        <w:rPr>
          <w:rFonts w:ascii="Times New Roman" w:hAnsi="Times New Roman" w:cs="Times New Roman"/>
          <w:b/>
          <w:bCs/>
          <w:sz w:val="28"/>
          <w:szCs w:val="28"/>
        </w:rPr>
        <w:t>5. METRICS TO MEASURE</w:t>
      </w:r>
    </w:p>
    <w:p w14:paraId="5C21935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 KPI Selection</w:t>
      </w:r>
    </w:p>
    <w:p w14:paraId="0F1DDDE0"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project uses multiple KPIs to evaluate both energy performance and manufacturing performance. This ensures that reducing energy costs does not negatively affect production requirements.</w:t>
      </w:r>
    </w:p>
    <w:tbl>
      <w:tblPr>
        <w:tblStyle w:val="PlainTable1"/>
        <w:tblW w:w="0" w:type="auto"/>
        <w:tblLook w:val="04A0" w:firstRow="1" w:lastRow="0" w:firstColumn="1" w:lastColumn="0" w:noHBand="0" w:noVBand="1"/>
      </w:tblPr>
      <w:tblGrid>
        <w:gridCol w:w="2375"/>
        <w:gridCol w:w="4811"/>
      </w:tblGrid>
      <w:tr w:rsidR="00A536F7" w:rsidRPr="00DB4454" w14:paraId="54F1CA04" w14:textId="77777777" w:rsidTr="00A536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5A47C" w14:textId="77777777" w:rsidR="00A536F7" w:rsidRPr="00DB4454" w:rsidRDefault="00A536F7" w:rsidP="00B178DE">
            <w:pPr>
              <w:spacing w:after="160" w:line="360" w:lineRule="auto"/>
              <w:jc w:val="both"/>
              <w:rPr>
                <w:rFonts w:ascii="Times New Roman" w:hAnsi="Times New Roman" w:cs="Times New Roman"/>
              </w:rPr>
            </w:pPr>
            <w:r w:rsidRPr="00DB4454">
              <w:rPr>
                <w:rFonts w:ascii="Times New Roman" w:hAnsi="Times New Roman" w:cs="Times New Roman"/>
              </w:rPr>
              <w:t>KPI</w:t>
            </w:r>
          </w:p>
        </w:tc>
        <w:tc>
          <w:tcPr>
            <w:tcW w:w="0" w:type="auto"/>
            <w:hideMark/>
          </w:tcPr>
          <w:p w14:paraId="2A13CED0" w14:textId="77777777" w:rsidR="00A536F7" w:rsidRPr="00DB4454" w:rsidRDefault="00A536F7" w:rsidP="00B178DE">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Purpose</w:t>
            </w:r>
          </w:p>
        </w:tc>
      </w:tr>
      <w:tr w:rsidR="00A536F7" w:rsidRPr="00DB4454" w14:paraId="1F0B4D9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FEE18"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Energy Cost</w:t>
            </w:r>
          </w:p>
        </w:tc>
        <w:tc>
          <w:tcPr>
            <w:tcW w:w="0" w:type="auto"/>
            <w:hideMark/>
          </w:tcPr>
          <w:p w14:paraId="5BBDE51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electricity cost</w:t>
            </w:r>
          </w:p>
        </w:tc>
      </w:tr>
      <w:tr w:rsidR="00A536F7" w:rsidRPr="00DB4454" w14:paraId="7F6A017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0FABB12F"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lastRenderedPageBreak/>
              <w:t>Peak Grid Load</w:t>
            </w:r>
          </w:p>
        </w:tc>
        <w:tc>
          <w:tcPr>
            <w:tcW w:w="0" w:type="auto"/>
            <w:hideMark/>
          </w:tcPr>
          <w:p w14:paraId="48B91511"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maximum power demand</w:t>
            </w:r>
          </w:p>
        </w:tc>
      </w:tr>
      <w:tr w:rsidR="00A536F7" w:rsidRPr="00DB4454" w14:paraId="2CF74FAD"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73FB3"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Makespan</w:t>
            </w:r>
          </w:p>
        </w:tc>
        <w:tc>
          <w:tcPr>
            <w:tcW w:w="0" w:type="auto"/>
            <w:hideMark/>
          </w:tcPr>
          <w:p w14:paraId="16E3671C"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total production completion time</w:t>
            </w:r>
          </w:p>
        </w:tc>
      </w:tr>
      <w:tr w:rsidR="00A536F7" w:rsidRPr="00DB4454" w14:paraId="03F56C36"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26B863A9"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Machine Utilization</w:t>
            </w:r>
          </w:p>
        </w:tc>
        <w:tc>
          <w:tcPr>
            <w:tcW w:w="0" w:type="auto"/>
            <w:hideMark/>
          </w:tcPr>
          <w:p w14:paraId="0AD40CA2"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machine usage</w:t>
            </w:r>
          </w:p>
        </w:tc>
      </w:tr>
      <w:tr w:rsidR="00A536F7" w:rsidRPr="00DB4454" w14:paraId="6FB10685"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5006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Average Waiting Time</w:t>
            </w:r>
          </w:p>
        </w:tc>
        <w:tc>
          <w:tcPr>
            <w:tcW w:w="0" w:type="auto"/>
            <w:hideMark/>
          </w:tcPr>
          <w:p w14:paraId="672E20E6"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job waiting</w:t>
            </w:r>
          </w:p>
        </w:tc>
      </w:tr>
      <w:tr w:rsidR="00A536F7" w:rsidRPr="00DB4454" w14:paraId="158833D5"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75541CE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Idle Time</w:t>
            </w:r>
          </w:p>
        </w:tc>
        <w:tc>
          <w:tcPr>
            <w:tcW w:w="0" w:type="auto"/>
            <w:hideMark/>
          </w:tcPr>
          <w:p w14:paraId="36E54B58"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unused machine time</w:t>
            </w:r>
          </w:p>
        </w:tc>
      </w:tr>
      <w:tr w:rsidR="00A536F7" w:rsidRPr="00DB4454" w14:paraId="55DDA6D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92316"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Total Delay</w:t>
            </w:r>
          </w:p>
        </w:tc>
        <w:tc>
          <w:tcPr>
            <w:tcW w:w="0" w:type="auto"/>
            <w:hideMark/>
          </w:tcPr>
          <w:p w14:paraId="1C03B905"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deadline-related delay</w:t>
            </w:r>
          </w:p>
        </w:tc>
      </w:tr>
      <w:tr w:rsidR="00A536F7" w:rsidRPr="00DB4454" w14:paraId="2A232937"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33577960"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Late Jobs</w:t>
            </w:r>
          </w:p>
        </w:tc>
        <w:tc>
          <w:tcPr>
            <w:tcW w:w="0" w:type="auto"/>
            <w:hideMark/>
          </w:tcPr>
          <w:p w14:paraId="3DD832D7"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Counts jobs completed after deadlines</w:t>
            </w:r>
          </w:p>
        </w:tc>
      </w:tr>
      <w:tr w:rsidR="00A536F7" w:rsidRPr="00DB4454" w14:paraId="37A224A3"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0E4EB"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On-Time Completion</w:t>
            </w:r>
          </w:p>
        </w:tc>
        <w:tc>
          <w:tcPr>
            <w:tcW w:w="0" w:type="auto"/>
            <w:hideMark/>
          </w:tcPr>
          <w:p w14:paraId="318ADF38"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deadline compliance</w:t>
            </w:r>
          </w:p>
        </w:tc>
      </w:tr>
      <w:tr w:rsidR="00A536F7" w:rsidRPr="00DB4454" w14:paraId="346EDC44" w14:textId="77777777" w:rsidTr="00A536F7">
        <w:tc>
          <w:tcPr>
            <w:cnfStyle w:val="001000000000" w:firstRow="0" w:lastRow="0" w:firstColumn="1" w:lastColumn="0" w:oddVBand="0" w:evenVBand="0" w:oddHBand="0" w:evenHBand="0" w:firstRowFirstColumn="0" w:firstRowLastColumn="0" w:lastRowFirstColumn="0" w:lastRowLastColumn="0"/>
            <w:tcW w:w="0" w:type="auto"/>
            <w:hideMark/>
          </w:tcPr>
          <w:p w14:paraId="62644B04"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Carbon Emissions</w:t>
            </w:r>
          </w:p>
        </w:tc>
        <w:tc>
          <w:tcPr>
            <w:tcW w:w="0" w:type="auto"/>
            <w:hideMark/>
          </w:tcPr>
          <w:p w14:paraId="3C9ED56F" w14:textId="77777777" w:rsidR="00A536F7" w:rsidRPr="00DB4454" w:rsidRDefault="00A536F7" w:rsidP="00B178DE">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environmental impact</w:t>
            </w:r>
          </w:p>
        </w:tc>
      </w:tr>
      <w:tr w:rsidR="00A536F7" w:rsidRPr="00DB4454" w14:paraId="132A9AFE" w14:textId="77777777" w:rsidTr="00A536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04E77C" w14:textId="77777777" w:rsidR="00A536F7" w:rsidRPr="00DB4454" w:rsidRDefault="00A536F7" w:rsidP="00B178DE">
            <w:pPr>
              <w:spacing w:after="160" w:line="360" w:lineRule="auto"/>
              <w:jc w:val="both"/>
              <w:rPr>
                <w:rFonts w:ascii="Times New Roman" w:hAnsi="Times New Roman" w:cs="Times New Roman"/>
                <w:b w:val="0"/>
                <w:bCs w:val="0"/>
              </w:rPr>
            </w:pPr>
            <w:r w:rsidRPr="00DB4454">
              <w:rPr>
                <w:rFonts w:ascii="Times New Roman" w:hAnsi="Times New Roman" w:cs="Times New Roman"/>
                <w:b w:val="0"/>
                <w:bCs w:val="0"/>
              </w:rPr>
              <w:t>Power Factor Penalty</w:t>
            </w:r>
          </w:p>
        </w:tc>
        <w:tc>
          <w:tcPr>
            <w:tcW w:w="0" w:type="auto"/>
            <w:hideMark/>
          </w:tcPr>
          <w:p w14:paraId="03313E2B" w14:textId="77777777" w:rsidR="00A536F7" w:rsidRPr="00DB4454" w:rsidRDefault="00A536F7" w:rsidP="00B178DE">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B4454">
              <w:rPr>
                <w:rFonts w:ascii="Times New Roman" w:hAnsi="Times New Roman" w:cs="Times New Roman"/>
              </w:rPr>
              <w:t>Measures modeled power-factor-related penalty</w:t>
            </w:r>
          </w:p>
        </w:tc>
      </w:tr>
    </w:tbl>
    <w:p w14:paraId="45D8ECDC" w14:textId="77777777" w:rsidR="00E844D5" w:rsidRPr="00DB4454" w:rsidRDefault="00E844D5" w:rsidP="00B178DE">
      <w:pPr>
        <w:spacing w:line="360" w:lineRule="auto"/>
        <w:jc w:val="both"/>
        <w:rPr>
          <w:rFonts w:ascii="Times New Roman" w:hAnsi="Times New Roman" w:cs="Times New Roman"/>
          <w:b/>
          <w:bCs/>
        </w:rPr>
      </w:pPr>
    </w:p>
    <w:p w14:paraId="6488AB8F" w14:textId="564F9376"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5.2 Total Energy Cost</w:t>
      </w:r>
    </w:p>
    <w:p w14:paraId="37A46222" w14:textId="125089D4" w:rsidR="0029072A" w:rsidRPr="00B178DE" w:rsidRDefault="00A536F7" w:rsidP="00B178DE">
      <w:pPr>
        <w:spacing w:line="360" w:lineRule="auto"/>
        <w:jc w:val="both"/>
        <w:rPr>
          <w:rFonts w:ascii="Times New Roman" w:hAnsi="Times New Roman" w:cs="Times New Roman"/>
        </w:rPr>
      </w:pPr>
      <w:r w:rsidRPr="00DB4454">
        <w:rPr>
          <w:rFonts w:ascii="Times New Roman" w:hAnsi="Times New Roman" w:cs="Times New Roman"/>
        </w:rPr>
        <w:t>Total energy cost measures the modeled electricity cost from active machine energy, setup energy, and idle energy throughout the schedule. It is a primary KPI because the proposed system aims to reduce electricity costs by shifting flexible jobs away from expensive tariff periods.A lower energy cost indicates a more economically efficient scheduling strategy.</w:t>
      </w:r>
    </w:p>
    <w:p w14:paraId="65FD2935" w14:textId="2DD74CA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5.3 Peak Grid Load</w:t>
      </w:r>
    </w:p>
    <w:p w14:paraId="3BFD8A5F" w14:textId="3FE91488" w:rsidR="0029072A" w:rsidRPr="00B178DE" w:rsidRDefault="00A536F7" w:rsidP="00B178DE">
      <w:pPr>
        <w:spacing w:line="360" w:lineRule="auto"/>
        <w:jc w:val="both"/>
        <w:rPr>
          <w:rFonts w:ascii="Times New Roman" w:hAnsi="Times New Roman" w:cs="Times New Roman"/>
        </w:rPr>
      </w:pPr>
      <w:r w:rsidRPr="00DB4454">
        <w:rPr>
          <w:rFonts w:ascii="Times New Roman" w:hAnsi="Times New Roman" w:cs="Times New Roman"/>
        </w:rPr>
        <w:t>Peak grid load measures the highest modeled power demand during the scheduling period. It is important because simultaneous operation of high-power machines can increase electricity demand and operational costs.</w:t>
      </w:r>
    </w:p>
    <w:p w14:paraId="2618383D" w14:textId="08B23D13"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5.4 Makespan</w:t>
      </w:r>
    </w:p>
    <w:p w14:paraId="0A32346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Makespan represents the total time required to complete all scheduled jobs. It helps determine whether energy-aware scheduling reduces energy cost without causing excessive increases in production time.</w:t>
      </w:r>
    </w:p>
    <w:p w14:paraId="15AE30D9" w14:textId="77777777" w:rsidR="00B178DE" w:rsidRDefault="00B178DE" w:rsidP="00B178DE">
      <w:pPr>
        <w:spacing w:line="360" w:lineRule="auto"/>
        <w:jc w:val="both"/>
        <w:rPr>
          <w:rFonts w:ascii="Times New Roman" w:hAnsi="Times New Roman" w:cs="Times New Roman"/>
          <w:b/>
          <w:bCs/>
        </w:rPr>
      </w:pPr>
    </w:p>
    <w:p w14:paraId="222EB7AC" w14:textId="77777777" w:rsidR="00B178DE" w:rsidRDefault="00B178DE" w:rsidP="00B178DE">
      <w:pPr>
        <w:spacing w:line="360" w:lineRule="auto"/>
        <w:jc w:val="both"/>
        <w:rPr>
          <w:rFonts w:ascii="Times New Roman" w:hAnsi="Times New Roman" w:cs="Times New Roman"/>
          <w:b/>
          <w:bCs/>
        </w:rPr>
      </w:pPr>
    </w:p>
    <w:p w14:paraId="4312499C" w14:textId="5694B69E"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lastRenderedPageBreak/>
        <w:t>5.5 Machine Utilization</w:t>
      </w:r>
    </w:p>
    <w:p w14:paraId="2F9EC3DC"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Machine utilization measures the percentage of available machine time spent processing jobs. It indicates how effectively the available machine capacity is being used.</w:t>
      </w:r>
    </w:p>
    <w:p w14:paraId="78CC8EC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Low utilization may indicate excessive waiting, tariff shifting, or inefficient job allocation.</w:t>
      </w:r>
    </w:p>
    <w:p w14:paraId="5A8D9F63"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5.6 Average Waiting Time</w:t>
      </w:r>
    </w:p>
    <w:p w14:paraId="06287CF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Average waiting time measures the time between job availability and the beginning of processing. This KPI is important because the proposed scheduler may intentionally delay flexible jobs to avoid expensive electricity periods.</w:t>
      </w:r>
    </w:p>
    <w:p w14:paraId="5A5008EB"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5.7 Total Idle Time</w:t>
      </w:r>
    </w:p>
    <w:p w14:paraId="4B7307B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Total idle time represents the unused machine time during the production schedule. It helps evaluate the trade-off between tariff-based job shifting and efficient machine utilization.</w:t>
      </w:r>
    </w:p>
    <w:p w14:paraId="16FD053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5.8 Total Delay and Late Jobs</w:t>
      </w:r>
    </w:p>
    <w:p w14:paraId="03BD551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Total delay measures the cumulative completion delay beyond job deadlines, while late jobs counts the number of jobs completed after their deadlines.</w:t>
      </w:r>
    </w:p>
    <w:p w14:paraId="117510F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These metrics ensure that energy-cost reduction does not result in unacceptable production delays.</w:t>
      </w:r>
    </w:p>
    <w:p w14:paraId="5319B35E"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5.9 On-Time Completion Percentage</w:t>
      </w:r>
    </w:p>
    <w:p w14:paraId="1C0307D9"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On-time completion represents the percentage of jobs completed on or before their deadlines. It is an important service-level KPI because flexible jobs may be delayed, but production commitments should still be maintained whenever possible.</w:t>
      </w:r>
    </w:p>
    <w:p w14:paraId="3B50DC7C"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5.10 Carbon Emissions</w:t>
      </w:r>
    </w:p>
    <w:p w14:paraId="282753EB"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Carbon emissions are estimated using energy usage and predicted carbon-related values. This KPI provides an environmental perspective on scheduling performance and helps evaluate the potential emissions impact of different scheduling strategies.</w:t>
      </w:r>
    </w:p>
    <w:p w14:paraId="07CB342B"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5.11 Power Factor Penalty</w:t>
      </w:r>
    </w:p>
    <w:p w14:paraId="199D084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Power factor penalty represents a modeled surcharge associated with power factor values below an acceptable threshold. It is included to account for the potential electrical-efficiency impact of poor power factor.</w:t>
      </w:r>
    </w:p>
    <w:p w14:paraId="3853372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Note: The current power-factor model produces values outside the normal physical range. Therefore, this KPI should be corrected before being used for a final research claim.</w:t>
      </w:r>
    </w:p>
    <w:p w14:paraId="6B7899B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5.12 Reason for Selecting Multiple KPIs</w:t>
      </w:r>
    </w:p>
    <w:p w14:paraId="0CAD7EDD"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No single KPI can fully evaluate a manufacturing schedule. Minimizing energy cost could increase waiting time or makespan, while minimizing production time could increase electricity costs.</w:t>
      </w:r>
    </w:p>
    <w:p w14:paraId="5207BD0C" w14:textId="4F9030A2"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Therefore, the project evaluates four major dimensions:</w:t>
      </w:r>
      <w:r w:rsidR="00E844D5" w:rsidRPr="00DB4454">
        <w:rPr>
          <w:rFonts w:ascii="Times New Roman" w:hAnsi="Times New Roman" w:cs="Times New Roman"/>
        </w:rPr>
        <w:t xml:space="preserve"> </w:t>
      </w:r>
      <w:r w:rsidRPr="00DB4454">
        <w:rPr>
          <w:rFonts w:ascii="Times New Roman" w:hAnsi="Times New Roman" w:cs="Times New Roman"/>
        </w:rPr>
        <w:t>Energy Performance + Production Performance + Environmental Performance + Service-Level Performance</w:t>
      </w:r>
    </w:p>
    <w:p w14:paraId="0FCCAA71" w14:textId="77777777" w:rsidR="00E844D5"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This provides a more complete evaluation of whether the proposed energy-aware scheduling methods provide practical improvements over conventional approaches.</w:t>
      </w:r>
    </w:p>
    <w:p w14:paraId="1849BC77" w14:textId="77777777" w:rsidR="0060417E" w:rsidRPr="00DB4454" w:rsidRDefault="0060417E" w:rsidP="00B178DE">
      <w:pPr>
        <w:spacing w:line="360" w:lineRule="auto"/>
        <w:jc w:val="both"/>
        <w:rPr>
          <w:rFonts w:ascii="Times New Roman" w:hAnsi="Times New Roman" w:cs="Times New Roman"/>
          <w:b/>
          <w:bCs/>
          <w:sz w:val="28"/>
          <w:szCs w:val="28"/>
        </w:rPr>
      </w:pPr>
    </w:p>
    <w:p w14:paraId="742FCC1A" w14:textId="7730701B"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b/>
          <w:bCs/>
          <w:sz w:val="28"/>
          <w:szCs w:val="28"/>
        </w:rPr>
        <w:t>6. RESULT REVIEW</w:t>
      </w:r>
    </w:p>
    <w:p w14:paraId="68B5E92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6.1 Benchmark Results</w:t>
      </w:r>
    </w:p>
    <w:p w14:paraId="25BE24CF"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The proposed scheduling approaches were evaluated using energy, production, and environmental KPIs. The main results are summarized below.</w:t>
      </w:r>
    </w:p>
    <w:p w14:paraId="7B36EC64" w14:textId="72DB05CB" w:rsidR="00A536F7"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66768272" wp14:editId="68AA931F">
            <wp:extent cx="5731510" cy="2045970"/>
            <wp:effectExtent l="0" t="0" r="2540" b="0"/>
            <wp:docPr id="98186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7676" name=""/>
                    <pic:cNvPicPr/>
                  </pic:nvPicPr>
                  <pic:blipFill>
                    <a:blip r:embed="rId11"/>
                    <a:stretch>
                      <a:fillRect/>
                    </a:stretch>
                  </pic:blipFill>
                  <pic:spPr>
                    <a:xfrm>
                      <a:off x="0" y="0"/>
                      <a:ext cx="5731510" cy="2045970"/>
                    </a:xfrm>
                    <a:prstGeom prst="rect">
                      <a:avLst/>
                    </a:prstGeom>
                  </pic:spPr>
                </pic:pic>
              </a:graphicData>
            </a:graphic>
          </wp:inline>
        </w:drawing>
      </w:r>
    </w:p>
    <w:p w14:paraId="0517BE74"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6.2 Energy Cost and Production Performance</w:t>
      </w:r>
    </w:p>
    <w:p w14:paraId="7AF2210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achieves the lowest modeled energy cost, reducing it from INR 186,096.29 with FCFS to INR 125,350.00, representing a reported 32.6% reduction. This improvement is associated with tariff-aware scheduling, selection of energy-efficient machines, priority-based shifting, and CP-SAT refinement. </w:t>
      </w:r>
    </w:p>
    <w:p w14:paraId="35A2D30A"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lastRenderedPageBreak/>
        <w:t>Hybrid Solver reports the lowest modeled energy cost.</w:t>
      </w:r>
    </w:p>
    <w:p w14:paraId="4287000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produces a 50.00-hour makespan, compared with 49.25 hours for FCFS, indicating a small production-time trade-off. Average waiting time also increases from 54.6 minutes to 93.9 minutes, as flexible jobs may be intentionally delayed to avoid expensive tariff periods. </w:t>
      </w:r>
    </w:p>
    <w:p w14:paraId="5ECDC588" w14:textId="15ECA015" w:rsidR="00A536F7"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drawing>
          <wp:inline distT="0" distB="0" distL="0" distR="0" wp14:anchorId="31C5FF53" wp14:editId="427214CE">
            <wp:extent cx="3146134" cy="2305050"/>
            <wp:effectExtent l="0" t="0" r="0" b="0"/>
            <wp:docPr id="20713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9608" name=""/>
                    <pic:cNvPicPr/>
                  </pic:nvPicPr>
                  <pic:blipFill>
                    <a:blip r:embed="rId12"/>
                    <a:stretch>
                      <a:fillRect/>
                    </a:stretch>
                  </pic:blipFill>
                  <pic:spPr>
                    <a:xfrm>
                      <a:off x="0" y="0"/>
                      <a:ext cx="3153526" cy="2310466"/>
                    </a:xfrm>
                    <a:prstGeom prst="rect">
                      <a:avLst/>
                    </a:prstGeom>
                  </pic:spPr>
                </pic:pic>
              </a:graphicData>
            </a:graphic>
          </wp:inline>
        </w:drawing>
      </w:r>
    </w:p>
    <w:p w14:paraId="322D0054" w14:textId="77777777" w:rsidR="00E844D5" w:rsidRPr="00DB4454" w:rsidRDefault="00E844D5" w:rsidP="00B178DE">
      <w:pPr>
        <w:spacing w:line="360" w:lineRule="auto"/>
        <w:jc w:val="both"/>
        <w:rPr>
          <w:rFonts w:ascii="Times New Roman" w:hAnsi="Times New Roman" w:cs="Times New Roman"/>
          <w:b/>
          <w:bCs/>
        </w:rPr>
      </w:pPr>
    </w:p>
    <w:p w14:paraId="171FE4C0" w14:textId="39B364C1"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6.3 Deadline and Environmental Performance</w:t>
      </w:r>
    </w:p>
    <w:p w14:paraId="3D97544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All evaluated scheduling methods achieve 100% on-time completion in the current benchmark. This indicates that the energy-aware approaches were able to shift flexible jobs without causing deadline violations. </w:t>
      </w:r>
    </w:p>
    <w:p w14:paraId="7188AF95"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Hybrid Solver also produces the lowest modeled carbon emissions, with 2191.9967 tCO₂ compared with 2950.9463 tCO₂ for FCFS, representing a reported 25.7% reduction. </w:t>
      </w:r>
    </w:p>
    <w:p w14:paraId="2A6591B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6.4 Overall Comparison and Interpretation</w:t>
      </w:r>
    </w:p>
    <w:p w14:paraId="15939F2E"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demonstrate the main trade-off of energy-aware scheduling. The Hybrid Solver provides the best modeled energy-cost and carbon-emission results while maintaining 100% on-time completion. However, this improvement is accompanied by higher waiting time and a small increase in makespan. </w:t>
      </w:r>
    </w:p>
    <w:p w14:paraId="5B4E53B1"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suggest that incorporating energy forecasts, tariff information, machine power characteristics, and optimization can provide scheduling opportunities that conventional FCFS and EDF methods do not explicitly consider. </w:t>
      </w:r>
    </w:p>
    <w:p w14:paraId="56619AD8" w14:textId="3E705BAC" w:rsidR="00E844D5"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lastRenderedPageBreak/>
        <w:drawing>
          <wp:inline distT="0" distB="0" distL="0" distR="0" wp14:anchorId="7779A55A" wp14:editId="7C5F8EB5">
            <wp:extent cx="3512156" cy="2447925"/>
            <wp:effectExtent l="0" t="0" r="0" b="0"/>
            <wp:docPr id="144936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65915" name=""/>
                    <pic:cNvPicPr/>
                  </pic:nvPicPr>
                  <pic:blipFill>
                    <a:blip r:embed="rId13"/>
                    <a:stretch>
                      <a:fillRect/>
                    </a:stretch>
                  </pic:blipFill>
                  <pic:spPr>
                    <a:xfrm>
                      <a:off x="0" y="0"/>
                      <a:ext cx="3529270" cy="2459853"/>
                    </a:xfrm>
                    <a:prstGeom prst="rect">
                      <a:avLst/>
                    </a:prstGeom>
                  </pic:spPr>
                </pic:pic>
              </a:graphicData>
            </a:graphic>
          </wp:inline>
        </w:drawing>
      </w:r>
    </w:p>
    <w:p w14:paraId="44FB387F"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6.5 Dashboard and Visualization</w:t>
      </w:r>
    </w:p>
    <w:p w14:paraId="74B32F42"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developed dashboard presents the major scheduling outputs and KPIs, including energy cost, peak load, carbon emissions, machine utilization, waiting time, makespan, and on-time completion. Additional visualizations include the algorithm comparison, machine-wise Gantt chart, 48-hour energy forecast, and KPI dashboard. </w:t>
      </w:r>
    </w:p>
    <w:p w14:paraId="665610E9" w14:textId="77777777" w:rsidR="0029072A" w:rsidRPr="00DB4454" w:rsidRDefault="0029072A" w:rsidP="00B178DE">
      <w:pPr>
        <w:spacing w:line="360" w:lineRule="auto"/>
        <w:jc w:val="both"/>
        <w:rPr>
          <w:rFonts w:ascii="Times New Roman" w:hAnsi="Times New Roman" w:cs="Times New Roman"/>
        </w:rPr>
      </w:pPr>
      <w:r w:rsidRPr="00DB4454">
        <w:rPr>
          <w:rFonts w:ascii="Times New Roman" w:hAnsi="Times New Roman" w:cs="Times New Roman"/>
        </w:rPr>
        <w:t>Suggested figures:</w:t>
      </w:r>
    </w:p>
    <w:p w14:paraId="0ED39D6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Algorithm comparison chart </w:t>
      </w:r>
    </w:p>
    <w:p w14:paraId="674A3B54"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Machine-wise Gantt chart </w:t>
      </w:r>
    </w:p>
    <w:p w14:paraId="25D2E739"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KPI dashboard screenshot </w:t>
      </w:r>
    </w:p>
    <w:p w14:paraId="26FD4A2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48-hour energy forecast </w:t>
      </w:r>
    </w:p>
    <w:p w14:paraId="5E1288D7" w14:textId="77777777" w:rsidR="0029072A" w:rsidRPr="00DB4454" w:rsidRDefault="0029072A" w:rsidP="00B178DE">
      <w:pPr>
        <w:numPr>
          <w:ilvl w:val="0"/>
          <w:numId w:val="5"/>
        </w:numPr>
        <w:spacing w:line="360" w:lineRule="auto"/>
        <w:jc w:val="both"/>
        <w:rPr>
          <w:rFonts w:ascii="Times New Roman" w:hAnsi="Times New Roman" w:cs="Times New Roman"/>
        </w:rPr>
      </w:pPr>
      <w:r w:rsidRPr="00DB4454">
        <w:rPr>
          <w:rFonts w:ascii="Times New Roman" w:hAnsi="Times New Roman" w:cs="Times New Roman"/>
        </w:rPr>
        <w:t xml:space="preserve">KPI improvement/heatmap </w:t>
      </w:r>
    </w:p>
    <w:p w14:paraId="2BB4B4D4" w14:textId="77777777" w:rsidR="00E844D5" w:rsidRPr="00DB4454" w:rsidRDefault="00E844D5" w:rsidP="00B178DE">
      <w:pPr>
        <w:spacing w:line="360" w:lineRule="auto"/>
        <w:jc w:val="both"/>
        <w:rPr>
          <w:rFonts w:ascii="Times New Roman" w:hAnsi="Times New Roman" w:cs="Times New Roman"/>
        </w:rPr>
      </w:pPr>
    </w:p>
    <w:p w14:paraId="1035A800" w14:textId="43B34033" w:rsidR="00E844D5" w:rsidRPr="00DB4454" w:rsidRDefault="00E844D5" w:rsidP="00B178DE">
      <w:pPr>
        <w:spacing w:line="360" w:lineRule="auto"/>
        <w:jc w:val="both"/>
        <w:rPr>
          <w:rFonts w:ascii="Times New Roman" w:hAnsi="Times New Roman" w:cs="Times New Roman"/>
        </w:rPr>
      </w:pPr>
      <w:r w:rsidRPr="00DB4454">
        <w:rPr>
          <w:rFonts w:ascii="Times New Roman" w:hAnsi="Times New Roman" w:cs="Times New Roman"/>
          <w:noProof/>
        </w:rPr>
        <w:lastRenderedPageBreak/>
        <w:drawing>
          <wp:inline distT="0" distB="0" distL="0" distR="0" wp14:anchorId="4EB2BDD7" wp14:editId="444276BB">
            <wp:extent cx="5731510" cy="2647950"/>
            <wp:effectExtent l="0" t="0" r="2540" b="0"/>
            <wp:docPr id="110394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44762" name=""/>
                    <pic:cNvPicPr/>
                  </pic:nvPicPr>
                  <pic:blipFill>
                    <a:blip r:embed="rId14"/>
                    <a:stretch>
                      <a:fillRect/>
                    </a:stretch>
                  </pic:blipFill>
                  <pic:spPr>
                    <a:xfrm>
                      <a:off x="0" y="0"/>
                      <a:ext cx="5731510" cy="2647950"/>
                    </a:xfrm>
                    <a:prstGeom prst="rect">
                      <a:avLst/>
                    </a:prstGeom>
                  </pic:spPr>
                </pic:pic>
              </a:graphicData>
            </a:graphic>
          </wp:inline>
        </w:drawing>
      </w:r>
    </w:p>
    <w:p w14:paraId="1D2CBFE5" w14:textId="77777777" w:rsidR="00A536F7" w:rsidRPr="00DB4454" w:rsidRDefault="00A536F7" w:rsidP="00B178DE">
      <w:pPr>
        <w:spacing w:line="360" w:lineRule="auto"/>
        <w:jc w:val="both"/>
        <w:rPr>
          <w:rFonts w:ascii="Times New Roman" w:hAnsi="Times New Roman" w:cs="Times New Roman"/>
          <w:b/>
          <w:bCs/>
        </w:rPr>
      </w:pPr>
      <w:r w:rsidRPr="00DB4454">
        <w:rPr>
          <w:rFonts w:ascii="Times New Roman" w:hAnsi="Times New Roman" w:cs="Times New Roman"/>
          <w:b/>
          <w:bCs/>
        </w:rPr>
        <w:t>6.6 Result Limitations</w:t>
      </w:r>
    </w:p>
    <w:p w14:paraId="58CA6D96" w14:textId="77777777" w:rsidR="00A536F7" w:rsidRPr="00DB4454" w:rsidRDefault="00A536F7" w:rsidP="00B178DE">
      <w:pPr>
        <w:spacing w:line="360" w:lineRule="auto"/>
        <w:jc w:val="both"/>
        <w:rPr>
          <w:rFonts w:ascii="Times New Roman" w:hAnsi="Times New Roman" w:cs="Times New Roman"/>
        </w:rPr>
      </w:pPr>
      <w:r w:rsidRPr="00DB4454">
        <w:rPr>
          <w:rFonts w:ascii="Times New Roman" w:hAnsi="Times New Roman" w:cs="Times New Roman"/>
        </w:rPr>
        <w:t xml:space="preserve">The results should be considered prototype/preliminary results because the experiment uses a single synthetic benchmark with a peak-heavy job-arrival distribution. The forecasting model also requires further quantile calibration, while the power-factor and peak-load calculations require correction. In addition, some algorithms currently produce identical results, limiting the strength of comparison. </w:t>
      </w:r>
    </w:p>
    <w:p w14:paraId="09E7CB93" w14:textId="4075B996" w:rsidR="00A536F7" w:rsidRPr="00DB4454" w:rsidRDefault="00A536F7" w:rsidP="00B178DE">
      <w:pPr>
        <w:spacing w:line="360" w:lineRule="auto"/>
        <w:jc w:val="both"/>
        <w:rPr>
          <w:rFonts w:ascii="Times New Roman" w:hAnsi="Times New Roman" w:cs="Times New Roman"/>
        </w:rPr>
      </w:pPr>
    </w:p>
    <w:sectPr w:rsidR="00A536F7" w:rsidRPr="00DB4454" w:rsidSect="00203ABC">
      <w:footerReference w:type="default" r:id="rId1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86B52" w14:textId="77777777" w:rsidR="0024527E" w:rsidRDefault="0024527E" w:rsidP="001C5A39">
      <w:pPr>
        <w:spacing w:after="0" w:line="240" w:lineRule="auto"/>
      </w:pPr>
      <w:r>
        <w:separator/>
      </w:r>
    </w:p>
  </w:endnote>
  <w:endnote w:type="continuationSeparator" w:id="0">
    <w:p w14:paraId="27E72545" w14:textId="77777777" w:rsidR="0024527E" w:rsidRDefault="0024527E" w:rsidP="001C5A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4599569"/>
      <w:docPartObj>
        <w:docPartGallery w:val="Page Numbers (Bottom of Page)"/>
        <w:docPartUnique/>
      </w:docPartObj>
    </w:sdtPr>
    <w:sdtEndPr>
      <w:rPr>
        <w:noProof/>
      </w:rPr>
    </w:sdtEndPr>
    <w:sdtContent>
      <w:p w14:paraId="3E65C77E" w14:textId="3DDAB3C7" w:rsidR="001C5A39" w:rsidRDefault="001C5A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757DFE" w14:textId="77777777" w:rsidR="001C5A39" w:rsidRDefault="001C5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B9493" w14:textId="77777777" w:rsidR="0024527E" w:rsidRDefault="0024527E" w:rsidP="001C5A39">
      <w:pPr>
        <w:spacing w:after="0" w:line="240" w:lineRule="auto"/>
      </w:pPr>
      <w:r>
        <w:separator/>
      </w:r>
    </w:p>
  </w:footnote>
  <w:footnote w:type="continuationSeparator" w:id="0">
    <w:p w14:paraId="5310273F" w14:textId="77777777" w:rsidR="0024527E" w:rsidRDefault="0024527E" w:rsidP="001C5A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55A43"/>
    <w:multiLevelType w:val="multilevel"/>
    <w:tmpl w:val="EBE8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D0346"/>
    <w:multiLevelType w:val="multilevel"/>
    <w:tmpl w:val="6AAE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86250"/>
    <w:multiLevelType w:val="multilevel"/>
    <w:tmpl w:val="D28A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F73D6"/>
    <w:multiLevelType w:val="multilevel"/>
    <w:tmpl w:val="508E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5609E5"/>
    <w:multiLevelType w:val="multilevel"/>
    <w:tmpl w:val="A392A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160522">
    <w:abstractNumId w:val="3"/>
  </w:num>
  <w:num w:numId="2" w16cid:durableId="377095094">
    <w:abstractNumId w:val="1"/>
  </w:num>
  <w:num w:numId="3" w16cid:durableId="2003965055">
    <w:abstractNumId w:val="0"/>
  </w:num>
  <w:num w:numId="4" w16cid:durableId="213006439">
    <w:abstractNumId w:val="2"/>
  </w:num>
  <w:num w:numId="5" w16cid:durableId="1547257596">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3BE"/>
    <w:rsid w:val="000D4F78"/>
    <w:rsid w:val="00124450"/>
    <w:rsid w:val="001C5A39"/>
    <w:rsid w:val="00203ABC"/>
    <w:rsid w:val="00223942"/>
    <w:rsid w:val="0024527E"/>
    <w:rsid w:val="0029072A"/>
    <w:rsid w:val="004677BD"/>
    <w:rsid w:val="00510BC2"/>
    <w:rsid w:val="00523F23"/>
    <w:rsid w:val="005C2323"/>
    <w:rsid w:val="005C6ECD"/>
    <w:rsid w:val="0060417E"/>
    <w:rsid w:val="008321C1"/>
    <w:rsid w:val="008A73BE"/>
    <w:rsid w:val="00A258B7"/>
    <w:rsid w:val="00A52213"/>
    <w:rsid w:val="00A536F7"/>
    <w:rsid w:val="00B178DE"/>
    <w:rsid w:val="00D94902"/>
    <w:rsid w:val="00DB4454"/>
    <w:rsid w:val="00E844D5"/>
    <w:rsid w:val="00EC64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2714C"/>
  <w15:chartTrackingRefBased/>
  <w15:docId w15:val="{E8B93C1B-B0A9-4F10-B35D-0E9EB7D35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3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A73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A73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A73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73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73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3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3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3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A73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A73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A73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73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73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3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3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3BE"/>
    <w:rPr>
      <w:rFonts w:eastAsiaTheme="majorEastAsia" w:cstheme="majorBidi"/>
      <w:color w:val="272727" w:themeColor="text1" w:themeTint="D8"/>
    </w:rPr>
  </w:style>
  <w:style w:type="paragraph" w:styleId="Title">
    <w:name w:val="Title"/>
    <w:basedOn w:val="Normal"/>
    <w:next w:val="Normal"/>
    <w:link w:val="TitleChar"/>
    <w:uiPriority w:val="10"/>
    <w:qFormat/>
    <w:rsid w:val="008A73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3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3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3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3BE"/>
    <w:pPr>
      <w:spacing w:before="160"/>
      <w:jc w:val="center"/>
    </w:pPr>
    <w:rPr>
      <w:i/>
      <w:iCs/>
      <w:color w:val="404040" w:themeColor="text1" w:themeTint="BF"/>
    </w:rPr>
  </w:style>
  <w:style w:type="character" w:customStyle="1" w:styleId="QuoteChar">
    <w:name w:val="Quote Char"/>
    <w:basedOn w:val="DefaultParagraphFont"/>
    <w:link w:val="Quote"/>
    <w:uiPriority w:val="29"/>
    <w:rsid w:val="008A73BE"/>
    <w:rPr>
      <w:i/>
      <w:iCs/>
      <w:color w:val="404040" w:themeColor="text1" w:themeTint="BF"/>
    </w:rPr>
  </w:style>
  <w:style w:type="paragraph" w:styleId="ListParagraph">
    <w:name w:val="List Paragraph"/>
    <w:basedOn w:val="Normal"/>
    <w:uiPriority w:val="34"/>
    <w:qFormat/>
    <w:rsid w:val="008A73BE"/>
    <w:pPr>
      <w:ind w:left="720"/>
      <w:contextualSpacing/>
    </w:pPr>
  </w:style>
  <w:style w:type="character" w:styleId="IntenseEmphasis">
    <w:name w:val="Intense Emphasis"/>
    <w:basedOn w:val="DefaultParagraphFont"/>
    <w:uiPriority w:val="21"/>
    <w:qFormat/>
    <w:rsid w:val="008A73BE"/>
    <w:rPr>
      <w:i/>
      <w:iCs/>
      <w:color w:val="2F5496" w:themeColor="accent1" w:themeShade="BF"/>
    </w:rPr>
  </w:style>
  <w:style w:type="paragraph" w:styleId="IntenseQuote">
    <w:name w:val="Intense Quote"/>
    <w:basedOn w:val="Normal"/>
    <w:next w:val="Normal"/>
    <w:link w:val="IntenseQuoteChar"/>
    <w:uiPriority w:val="30"/>
    <w:qFormat/>
    <w:rsid w:val="008A73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73BE"/>
    <w:rPr>
      <w:i/>
      <w:iCs/>
      <w:color w:val="2F5496" w:themeColor="accent1" w:themeShade="BF"/>
    </w:rPr>
  </w:style>
  <w:style w:type="character" w:styleId="IntenseReference">
    <w:name w:val="Intense Reference"/>
    <w:basedOn w:val="DefaultParagraphFont"/>
    <w:uiPriority w:val="32"/>
    <w:qFormat/>
    <w:rsid w:val="008A73BE"/>
    <w:rPr>
      <w:b/>
      <w:bCs/>
      <w:smallCaps/>
      <w:color w:val="2F5496" w:themeColor="accent1" w:themeShade="BF"/>
      <w:spacing w:val="5"/>
    </w:rPr>
  </w:style>
  <w:style w:type="paragraph" w:customStyle="1" w:styleId="msonormal0">
    <w:name w:val="msonormal"/>
    <w:basedOn w:val="Normal"/>
    <w:rsid w:val="00D9490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D94902"/>
  </w:style>
  <w:style w:type="paragraph" w:styleId="NormalWeb">
    <w:name w:val="Normal (Web)"/>
    <w:basedOn w:val="Normal"/>
    <w:uiPriority w:val="99"/>
    <w:semiHidden/>
    <w:unhideWhenUsed/>
    <w:rsid w:val="00D9490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contents">
    <w:name w:val="contents"/>
    <w:basedOn w:val="DefaultParagraphFont"/>
    <w:rsid w:val="00D94902"/>
  </w:style>
  <w:style w:type="character" w:styleId="Strong">
    <w:name w:val="Strong"/>
    <w:basedOn w:val="DefaultParagraphFont"/>
    <w:uiPriority w:val="22"/>
    <w:qFormat/>
    <w:rsid w:val="00D94902"/>
    <w:rPr>
      <w:b/>
      <w:bCs/>
    </w:rPr>
  </w:style>
  <w:style w:type="paragraph" w:styleId="HTMLPreformatted">
    <w:name w:val="HTML Preformatted"/>
    <w:basedOn w:val="Normal"/>
    <w:link w:val="HTMLPreformattedChar"/>
    <w:uiPriority w:val="99"/>
    <w:semiHidden/>
    <w:unhideWhenUsed/>
    <w:rsid w:val="00D94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94902"/>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D94902"/>
    <w:rPr>
      <w:rFonts w:ascii="Courier New" w:eastAsia="Times New Roman" w:hAnsi="Courier New" w:cs="Courier New"/>
      <w:sz w:val="20"/>
      <w:szCs w:val="20"/>
    </w:rPr>
  </w:style>
  <w:style w:type="table" w:styleId="TableGrid">
    <w:name w:val="Table Grid"/>
    <w:basedOn w:val="TableNormal"/>
    <w:uiPriority w:val="39"/>
    <w:rsid w:val="00A53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536F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536F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1C5A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5A39"/>
  </w:style>
  <w:style w:type="paragraph" w:styleId="Footer">
    <w:name w:val="footer"/>
    <w:basedOn w:val="Normal"/>
    <w:link w:val="FooterChar"/>
    <w:uiPriority w:val="99"/>
    <w:unhideWhenUsed/>
    <w:rsid w:val="001C5A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5A39"/>
  </w:style>
  <w:style w:type="paragraph" w:styleId="BodyText">
    <w:name w:val="Body Text"/>
    <w:basedOn w:val="Normal"/>
    <w:link w:val="BodyTextChar"/>
    <w:uiPriority w:val="1"/>
    <w:qFormat/>
    <w:rsid w:val="00203ABC"/>
    <w:pPr>
      <w:widowControl w:val="0"/>
      <w:autoSpaceDE w:val="0"/>
      <w:autoSpaceDN w:val="0"/>
      <w:spacing w:after="0" w:line="240" w:lineRule="auto"/>
    </w:pPr>
    <w:rPr>
      <w:rFonts w:ascii="Times New Roman" w:eastAsia="Times New Roman" w:hAnsi="Times New Roman" w:cs="Times New Roman"/>
      <w:kern w:val="0"/>
      <w:sz w:val="26"/>
      <w:szCs w:val="26"/>
      <w:lang w:val="en-US"/>
      <w14:ligatures w14:val="none"/>
    </w:rPr>
  </w:style>
  <w:style w:type="character" w:customStyle="1" w:styleId="BodyTextChar">
    <w:name w:val="Body Text Char"/>
    <w:basedOn w:val="DefaultParagraphFont"/>
    <w:link w:val="BodyText"/>
    <w:uiPriority w:val="1"/>
    <w:rsid w:val="00203ABC"/>
    <w:rPr>
      <w:rFonts w:ascii="Times New Roman" w:eastAsia="Times New Roman" w:hAnsi="Times New Roman" w:cs="Times New Roman"/>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4108</Words>
  <Characters>23418</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Kumar</dc:creator>
  <cp:keywords/>
  <dc:description/>
  <cp:lastModifiedBy>Hemanth Kumar</cp:lastModifiedBy>
  <cp:revision>9</cp:revision>
  <dcterms:created xsi:type="dcterms:W3CDTF">2026-09-10T16:26:00Z</dcterms:created>
  <dcterms:modified xsi:type="dcterms:W3CDTF">2026-09-12T06:09:00Z</dcterms:modified>
</cp:coreProperties>
</file>