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4C5C"/>
          <w:sz w:val="36"/>
          <w:szCs w:val="36"/>
        </w:rPr>
        <w:t xml:space="preserve">Multi-Agent RAG System for Academic Research Assistance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A CPU-Friendly Agentic Pipeline with Citation Faithfulness Verification</w:t>
      </w:r>
    </w:p>
    <w:p>
      <w:pPr>
        <w:spacing w:after="3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M.Tech (AI &amp; ML)  •  Minor Project  •  Review-01</w:t>
      </w:r>
    </w:p>
    <w:p>
      <w:pPr>
        <w:pStyle w:val="Heading1"/>
      </w:pPr>
      <w:r>
        <w:t xml:space="preserve">Abstract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exponential growth of scientific literature has made comprehensive literature review increasingly difficult. Large Language Models (LLMs) combined with Retrieval-Augmented Generation (RAG) offer a promising solution, yet existing systems suffer from a critical limitation: unfaithful citations. Recent work has shown that up to 57% of citations produced by RAG systems are post-rationalized — they appear correct but are not actually entailed by the cited evidence. This project proposes a Multi-Agent RAG System for Academic Research Assistance that addresses this gap through a four-agent pipeline running on consumer-grade CPU hardware. A Query Planner Agent decomposes complex research questions into atomic sub-questions; a Retriever Agent performs semantic search over a local PDF corpus indexed with FAISS, augmented by Corrective RAG (CRAG) style relevance grading; a Synthesizer Agent generates grounded answers with inline citations; and a novel Citation Faithfulness Verifier Agent uses a Natural Language Inference (NLI) model to score the entailment between each generated claim and its cited evidence, rejecting unfaithful claims and triggering revision. The architecture supports two interchangeable LLM backends: a default cloud mode using Groq’s free-tier Llama 3.3 70B for high-quality, low-latency inference; and a fully local mode using Ollama with a quantized Phi-3-mini model (~3 GB RAM) for air-gapped, privacy-sensitive deployments. The retriever, FAISS index, and NLI verifier remain local in both modes — PDFs themselves never leave the device. Orchestration is implemented with LangGraph; embeddings use sentence-transformer MiniLM; verification uses a CPU-deployable DeBERTa-v3-MNLI model. A Streamlit interface allows researchers to upload PDF libraries and obtain cited answers with per-claim faithfulness scores. Evaluation uses the RAGAS framework — faithfulness, answer relevance, context precision and recall — alongside a custom citation-faithfulness metric on a hand-curated benchmark of twenty question–answer pairs. The expected contribution is a reproducible, open-source reference implementation for accessible Agentic RAG with a defensible privacy story and a clean speed/privacy trade-off, suitable for low-resource academic environments and a foundation for extension into a publishable research paper.</w:t>
      </w:r>
    </w:p>
    <w:p>
      <w:pPr>
        <w:spacing w:after="200" w:before="2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Retrieval-Augmented Generation, Multi-Agent Systems, Citation Faithfulness, Natural Language Inference, Large Language Models, Academic Information Retrieval, Self-RAG, Corrective RAG, LangGraph, Ollama, Air-Gapped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0F4C5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2026-05-29T16:25:43.299Z</dcterms:created>
  <dcterms:modified xsi:type="dcterms:W3CDTF">2026-05-29T16:25:43.312Z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