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Technologies - Contractor &amp; Vendor Guidelines (2026)</w:t>
      </w:r>
    </w:p>
    <w:p>
      <w:pPr>
        <w:pStyle w:val="Heading1"/>
      </w:pPr>
      <w:r>
        <w:t>1. Engagement Terms &amp; Scope</w:t>
      </w:r>
    </w:p>
    <w:p>
      <w:r>
        <w:t>Independent contractors and consultants operate on Statement of Work (SOW) deliverables. Contractors are not eligible for employee benefits, healthcare coverage, or paid annual leave.</w:t>
      </w:r>
    </w:p>
    <w:p>
      <w:pPr>
        <w:pStyle w:val="Heading1"/>
      </w:pPr>
      <w:r>
        <w:t>2. Invoicing &amp; Payment Terms</w:t>
      </w:r>
    </w:p>
    <w:p>
      <w:r>
        <w:t>Invoices must be submitted on the last business day of each calendar month. Payment terms are strictly Net 30 days via direct bank wire transfer upon approval of milestone deliverables.</w:t>
      </w:r>
    </w:p>
    <w:p>
      <w:pPr>
        <w:pStyle w:val="Heading1"/>
      </w:pPr>
      <w:r>
        <w:t>3. Termination &amp; Notice Period</w:t>
      </w:r>
    </w:p>
    <w:p>
      <w:r>
        <w:t>Either party may terminate the contractor engagement without cause by providing 14 calendar days of written notice. Immediate termination is effective in cases of willful breach of confidentiality.</w:t>
      </w:r>
    </w:p>
    <w:p>
      <w:pPr>
        <w:pStyle w:val="Heading1"/>
      </w:pPr>
      <w:r>
        <w:t>4. Summary Policy Comparison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Policy Topic</w:t>
            </w:r>
          </w:p>
        </w:tc>
        <w:tc>
          <w:tcPr>
            <w:tcW w:type="dxa" w:w="2880"/>
          </w:tcPr>
          <w:p>
            <w:r>
              <w:t>Full-Time Employee</w:t>
            </w:r>
          </w:p>
        </w:tc>
        <w:tc>
          <w:tcPr>
            <w:tcW w:type="dxa" w:w="2880"/>
          </w:tcPr>
          <w:p>
            <w:r>
              <w:t>Independent Contractor</w:t>
            </w:r>
          </w:p>
        </w:tc>
      </w:tr>
      <w:tr>
        <w:tc>
          <w:tcPr>
            <w:tcW w:type="dxa" w:w="2880"/>
          </w:tcPr>
          <w:p>
            <w:r>
              <w:t>Annual Leave</w:t>
            </w:r>
          </w:p>
        </w:tc>
        <w:tc>
          <w:tcPr>
            <w:tcW w:type="dxa" w:w="2880"/>
          </w:tcPr>
          <w:p>
            <w:r>
              <w:t>24 Days Paid Leave</w:t>
            </w:r>
          </w:p>
        </w:tc>
        <w:tc>
          <w:tcPr>
            <w:tcW w:type="dxa" w:w="2880"/>
          </w:tcPr>
          <w:p>
            <w:r>
              <w:t>Not Eligible (Unpaid)</w:t>
            </w:r>
          </w:p>
        </w:tc>
      </w:tr>
      <w:tr>
        <w:tc>
          <w:tcPr>
            <w:tcW w:type="dxa" w:w="2880"/>
          </w:tcPr>
          <w:p>
            <w:r>
              <w:t>Probation Period</w:t>
            </w:r>
          </w:p>
        </w:tc>
        <w:tc>
          <w:tcPr>
            <w:tcW w:type="dxa" w:w="2880"/>
          </w:tcPr>
          <w:p>
            <w:r>
              <w:t>3 Months Formal Review</w:t>
            </w:r>
          </w:p>
        </w:tc>
        <w:tc>
          <w:tcPr>
            <w:tcW w:type="dxa" w:w="2880"/>
          </w:tcPr>
          <w:p>
            <w:r>
              <w:t>None (SOW Milestones)</w:t>
            </w:r>
          </w:p>
        </w:tc>
      </w:tr>
      <w:tr>
        <w:tc>
          <w:tcPr>
            <w:tcW w:type="dxa" w:w="2880"/>
          </w:tcPr>
          <w:p>
            <w:r>
              <w:t>Notice Period</w:t>
            </w:r>
          </w:p>
        </w:tc>
        <w:tc>
          <w:tcPr>
            <w:tcW w:type="dxa" w:w="2880"/>
          </w:tcPr>
          <w:p>
            <w:r>
              <w:t>30 Days Written Notice</w:t>
            </w:r>
          </w:p>
        </w:tc>
        <w:tc>
          <w:tcPr>
            <w:tcW w:type="dxa" w:w="2880"/>
          </w:tcPr>
          <w:p>
            <w:r>
              <w:t>14 Days Written Notice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