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HematoVision: Advanced Blood Cell Classification Using Transfer Learning</w:t>
      </w:r>
    </w:p>
    <w:p>
      <w:pPr>
        <w:pStyle w:val="Heading1"/>
      </w:pPr>
      <w:r>
        <w:t>1. Project Overview</w:t>
      </w:r>
    </w:p>
    <w:p>
      <w:r>
        <w:t>HematoVision is an intelligent diagnostic tool aimed at accurately classifying various types of blood cells using transfer learning techniques. By leveraging the power of pre-trained convolutional neural networks (CNNs), the model offers high accuracy and efficiency while minimizing training time and computational resources. This tool is developed using a dataset of 12,000 annotated blood cell images across four key categories:</w:t>
        <w:br/>
        <w:br/>
        <w:t>- Eosinophils</w:t>
        <w:br/>
        <w:t>- Lymphocytes</w:t>
        <w:br/>
        <w:t>- Monocytes</w:t>
        <w:br/>
        <w:t>- Neutrophils</w:t>
      </w:r>
    </w:p>
    <w:p>
      <w:pPr>
        <w:pStyle w:val="Heading1"/>
      </w:pPr>
      <w:r>
        <w:t>2. Objectives</w:t>
      </w:r>
    </w:p>
    <w:p>
      <w:r>
        <w:t>- To design a deep learning model using transfer learning for classifying blood cells.</w:t>
        <w:br/>
        <w:t>- To enhance diagnostic speed and accuracy in clinical settings.</w:t>
        <w:br/>
        <w:t>- To support remote diagnostics and medical education via scalable and interpretable models.</w:t>
      </w:r>
    </w:p>
    <w:p>
      <w:pPr>
        <w:pStyle w:val="Heading1"/>
      </w:pPr>
      <w:r>
        <w:t>3. Tools and Technologies Used</w:t>
      </w:r>
    </w:p>
    <w:tbl>
      <w:tblPr>
        <w:tblStyle w:val="TableGrid"/>
        <w:tblW w:type="auto" w:w="0"/>
        <w:tblLook w:firstColumn="1" w:firstRow="1" w:lastColumn="0" w:lastRow="0" w:noHBand="0" w:noVBand="1" w:val="04A0"/>
      </w:tblPr>
      <w:tblGrid>
        <w:gridCol w:w="4320"/>
        <w:gridCol w:w="4320"/>
      </w:tblGrid>
      <w:tr>
        <w:tc>
          <w:tcPr>
            <w:tcW w:type="dxa" w:w="4320"/>
          </w:tcPr>
          <w:p>
            <w:r>
              <w:t>Category</w:t>
            </w:r>
          </w:p>
        </w:tc>
        <w:tc>
          <w:tcPr>
            <w:tcW w:type="dxa" w:w="4320"/>
          </w:tcPr>
          <w:p>
            <w:r>
              <w:t>Technology</w:t>
            </w:r>
          </w:p>
        </w:tc>
      </w:tr>
      <w:tr>
        <w:tc>
          <w:tcPr>
            <w:tcW w:type="dxa" w:w="4320"/>
          </w:tcPr>
          <w:p>
            <w:r>
              <w:t>Programming Language</w:t>
            </w:r>
          </w:p>
        </w:tc>
        <w:tc>
          <w:tcPr>
            <w:tcW w:type="dxa" w:w="4320"/>
          </w:tcPr>
          <w:p>
            <w:r>
              <w:t>Python</w:t>
            </w:r>
          </w:p>
        </w:tc>
      </w:tr>
      <w:tr>
        <w:tc>
          <w:tcPr>
            <w:tcW w:type="dxa" w:w="4320"/>
          </w:tcPr>
          <w:p>
            <w:r>
              <w:t>Deep Learning Library</w:t>
            </w:r>
          </w:p>
        </w:tc>
        <w:tc>
          <w:tcPr>
            <w:tcW w:type="dxa" w:w="4320"/>
          </w:tcPr>
          <w:p>
            <w:r>
              <w:t>TensorFlow, Keras</w:t>
            </w:r>
          </w:p>
        </w:tc>
      </w:tr>
      <w:tr>
        <w:tc>
          <w:tcPr>
            <w:tcW w:type="dxa" w:w="4320"/>
          </w:tcPr>
          <w:p>
            <w:r>
              <w:t>Data Handling</w:t>
            </w:r>
          </w:p>
        </w:tc>
        <w:tc>
          <w:tcPr>
            <w:tcW w:type="dxa" w:w="4320"/>
          </w:tcPr>
          <w:p>
            <w:r>
              <w:t>NumPy, Pandas</w:t>
            </w:r>
          </w:p>
        </w:tc>
      </w:tr>
      <w:tr>
        <w:tc>
          <w:tcPr>
            <w:tcW w:type="dxa" w:w="4320"/>
          </w:tcPr>
          <w:p>
            <w:r>
              <w:t>Visualization</w:t>
            </w:r>
          </w:p>
        </w:tc>
        <w:tc>
          <w:tcPr>
            <w:tcW w:type="dxa" w:w="4320"/>
          </w:tcPr>
          <w:p>
            <w:r>
              <w:t>Matplotlib, Seaborn</w:t>
            </w:r>
          </w:p>
        </w:tc>
      </w:tr>
      <w:tr>
        <w:tc>
          <w:tcPr>
            <w:tcW w:type="dxa" w:w="4320"/>
          </w:tcPr>
          <w:p>
            <w:r>
              <w:t>Image Processing</w:t>
            </w:r>
          </w:p>
        </w:tc>
        <w:tc>
          <w:tcPr>
            <w:tcW w:type="dxa" w:w="4320"/>
          </w:tcPr>
          <w:p>
            <w:r>
              <w:t>OpenCV</w:t>
            </w:r>
          </w:p>
        </w:tc>
      </w:tr>
      <w:tr>
        <w:tc>
          <w:tcPr>
            <w:tcW w:type="dxa" w:w="4320"/>
          </w:tcPr>
          <w:p>
            <w:r>
              <w:t>Model Deployment</w:t>
            </w:r>
          </w:p>
        </w:tc>
        <w:tc>
          <w:tcPr>
            <w:tcW w:type="dxa" w:w="4320"/>
          </w:tcPr>
          <w:p>
            <w:r>
              <w:t>Streamlit (optional)</w:t>
            </w:r>
          </w:p>
        </w:tc>
      </w:tr>
      <w:tr>
        <w:tc>
          <w:tcPr>
            <w:tcW w:type="dxa" w:w="4320"/>
          </w:tcPr>
          <w:p>
            <w:r>
              <w:t>Pre-trained Models</w:t>
            </w:r>
          </w:p>
        </w:tc>
        <w:tc>
          <w:tcPr>
            <w:tcW w:type="dxa" w:w="4320"/>
          </w:tcPr>
          <w:p>
            <w:r>
              <w:t>VGG16, ResNet50, MobileNetV2</w:t>
            </w:r>
          </w:p>
        </w:tc>
      </w:tr>
    </w:tbl>
    <w:p>
      <w:pPr>
        <w:pStyle w:val="Heading1"/>
      </w:pPr>
      <w:r>
        <w:t>4. Dataset Description</w:t>
      </w:r>
    </w:p>
    <w:p>
      <w:r>
        <w:t>Total Samples: 12,000 images</w:t>
        <w:br/>
        <w:t>Categories:</w:t>
        <w:br/>
        <w:t>- Eosinophils</w:t>
        <w:br/>
        <w:t>- Lymphocytes</w:t>
        <w:br/>
        <w:t>- Monocytes</w:t>
        <w:br/>
        <w:t>- Neutrophils</w:t>
        <w:br/>
        <w:t>Source: Publicly available hematology image datasets (e.g., BCCD dataset, BloodMNIST)</w:t>
        <w:br/>
        <w:t>Data Split:</w:t>
        <w:br/>
        <w:t>- Training: 70%</w:t>
        <w:br/>
        <w:t>- Validation: 15%</w:t>
        <w:br/>
        <w:t>- Testing: 15%</w:t>
      </w:r>
    </w:p>
    <w:p>
      <w:pPr>
        <w:pStyle w:val="Heading1"/>
      </w:pPr>
      <w:r>
        <w:t>5. Methodology</w:t>
      </w:r>
    </w:p>
    <w:p>
      <w:pPr>
        <w:pStyle w:val="Heading2"/>
      </w:pPr>
      <w:r>
        <w:t>5.1 Data Preprocessing</w:t>
      </w:r>
    </w:p>
    <w:p>
      <w:r>
        <w:t>- Resizing images to 224×224 pixels</w:t>
        <w:br/>
        <w:t>- Normalizing pixel values (0–1)</w:t>
        <w:br/>
        <w:t>- Label encoding</w:t>
        <w:br/>
        <w:t>- Data augmentation (rotation, zoom, flip, shift)</w:t>
      </w:r>
    </w:p>
    <w:p>
      <w:pPr>
        <w:pStyle w:val="Heading2"/>
      </w:pPr>
      <w:r>
        <w:t>5.2 Model Development</w:t>
      </w:r>
    </w:p>
    <w:p>
      <w:r>
        <w:t>- Used pre-trained CNNs with transfer learning (e.g., ResNet50)</w:t>
        <w:br/>
        <w:t>- Modified top layers with custom dense layers for classification</w:t>
        <w:br/>
        <w:t>- Applied dropout for regularization</w:t>
      </w:r>
    </w:p>
    <w:p>
      <w:pPr>
        <w:pStyle w:val="Heading2"/>
      </w:pPr>
      <w:r>
        <w:t>5.3 Training</w:t>
      </w:r>
    </w:p>
    <w:p>
      <w:r>
        <w:t>- Optimizer: Adam</w:t>
        <w:br/>
        <w:t>- Loss Function: Categorical Crossentropy</w:t>
        <w:br/>
        <w:t>- Metrics: Accuracy</w:t>
        <w:br/>
        <w:t>- Epochs: 25–50</w:t>
        <w:br/>
        <w:t>- Batch Size: 32</w:t>
      </w:r>
    </w:p>
    <w:p>
      <w:pPr>
        <w:pStyle w:val="Heading2"/>
      </w:pPr>
      <w:r>
        <w:t>5.4 Evaluation</w:t>
      </w:r>
    </w:p>
    <w:p>
      <w:r>
        <w:t>- Confusion Matrix</w:t>
        <w:br/>
        <w:t>- Classification Report</w:t>
        <w:br/>
        <w:t>- Accuracy and Loss plots</w:t>
      </w:r>
    </w:p>
    <w:p>
      <w:pPr>
        <w:pStyle w:val="Heading1"/>
      </w:pPr>
      <w:r>
        <w:t>6. Architecture Diagram</w:t>
      </w:r>
    </w:p>
    <w:p>
      <w:r>
        <w:t>Image Input → Preprocessing → Pre-trained CNN (e.g., ResNet50) → Custom Dense Layers → Softmax Output</w:t>
      </w:r>
    </w:p>
    <w:p>
      <w:pPr>
        <w:pStyle w:val="Heading1"/>
      </w:pPr>
      <w:r>
        <w:t>7. Results</w:t>
      </w:r>
    </w:p>
    <w:tbl>
      <w:tblPr>
        <w:tblStyle w:val="TableGrid"/>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Accuracy</w:t>
            </w:r>
          </w:p>
        </w:tc>
        <w:tc>
          <w:tcPr>
            <w:tcW w:type="dxa" w:w="4320"/>
          </w:tcPr>
          <w:p>
            <w:r>
              <w:t>94.2%</w:t>
            </w:r>
          </w:p>
        </w:tc>
      </w:tr>
      <w:tr>
        <w:tc>
          <w:tcPr>
            <w:tcW w:type="dxa" w:w="4320"/>
          </w:tcPr>
          <w:p>
            <w:r>
              <w:t>Precision</w:t>
            </w:r>
          </w:p>
        </w:tc>
        <w:tc>
          <w:tcPr>
            <w:tcW w:type="dxa" w:w="4320"/>
          </w:tcPr>
          <w:p>
            <w:r>
              <w:t>93.5%</w:t>
            </w:r>
          </w:p>
        </w:tc>
      </w:tr>
      <w:tr>
        <w:tc>
          <w:tcPr>
            <w:tcW w:type="dxa" w:w="4320"/>
          </w:tcPr>
          <w:p>
            <w:r>
              <w:t>Recall</w:t>
            </w:r>
          </w:p>
        </w:tc>
        <w:tc>
          <w:tcPr>
            <w:tcW w:type="dxa" w:w="4320"/>
          </w:tcPr>
          <w:p>
            <w:r>
              <w:t>92.8%</w:t>
            </w:r>
          </w:p>
        </w:tc>
      </w:tr>
      <w:tr>
        <w:tc>
          <w:tcPr>
            <w:tcW w:type="dxa" w:w="4320"/>
          </w:tcPr>
          <w:p>
            <w:r>
              <w:t>F1-Score</w:t>
            </w:r>
          </w:p>
        </w:tc>
        <w:tc>
          <w:tcPr>
            <w:tcW w:type="dxa" w:w="4320"/>
          </w:tcPr>
          <w:p>
            <w:r>
              <w:t>93.1%</w:t>
            </w:r>
          </w:p>
        </w:tc>
      </w:tr>
    </w:tbl>
    <w:p>
      <w:pPr>
        <w:pStyle w:val="Heading1"/>
      </w:pPr>
      <w:r>
        <w:t>8. Application Scenarios</w:t>
      </w:r>
    </w:p>
    <w:p>
      <w:pPr>
        <w:pStyle w:val="Heading2"/>
      </w:pPr>
      <w:r>
        <w:t>Scenario 1: Automated Diagnostic Systems</w:t>
      </w:r>
    </w:p>
    <w:p>
      <w:r>
        <w:t>- Integrates into hospital lab software for real-time classification.</w:t>
        <w:br/>
        <w:t>- Reduces human error and improves throughput.</w:t>
      </w:r>
    </w:p>
    <w:p>
      <w:pPr>
        <w:pStyle w:val="Heading2"/>
      </w:pPr>
      <w:r>
        <w:t>Scenario 2: Remote Medical Consultations</w:t>
      </w:r>
    </w:p>
    <w:p>
      <w:r>
        <w:t>- Deployed via APIs to telemedicine platforms.</w:t>
        <w:br/>
        <w:t>- Enables remote pathology by analyzing uploaded images.</w:t>
      </w:r>
    </w:p>
    <w:p>
      <w:pPr>
        <w:pStyle w:val="Heading2"/>
      </w:pPr>
      <w:r>
        <w:t>Scenario 3: Educational Tools</w:t>
      </w:r>
    </w:p>
    <w:p>
      <w:r>
        <w:t>- Medical students and lab technicians interact with the tool for self-learning.</w:t>
        <w:br/>
        <w:t>- Supports real-time classification and explanation of results.</w:t>
      </w:r>
    </w:p>
    <w:p>
      <w:pPr>
        <w:pStyle w:val="Heading1"/>
      </w:pPr>
      <w:r>
        <w:t>9. Limitations &amp; Future Work</w:t>
      </w:r>
    </w:p>
    <w:p>
      <w:pPr>
        <w:pStyle w:val="Heading2"/>
      </w:pPr>
      <w:r>
        <w:t>Limitations</w:t>
      </w:r>
    </w:p>
    <w:p>
      <w:r>
        <w:t>- Model performance may degrade on poor-quality or unfamiliar datasets.</w:t>
        <w:br/>
        <w:t>- Cannot diagnose diseases beyond cell classification.</w:t>
      </w:r>
    </w:p>
    <w:p>
      <w:pPr>
        <w:pStyle w:val="Heading2"/>
      </w:pPr>
      <w:r>
        <w:t>Future Enhancements</w:t>
      </w:r>
    </w:p>
    <w:p>
      <w:r>
        <w:t>- Expand dataset diversity (age, disease states).</w:t>
        <w:br/>
        <w:t>- Integrate explainable AI (e.g., Grad-CAM).</w:t>
        <w:br/>
        <w:t>- Deploy as a mobile app or web platform for broader accessibility.</w:t>
      </w:r>
    </w:p>
    <w:p>
      <w:pPr>
        <w:pStyle w:val="Heading1"/>
      </w:pPr>
      <w:r>
        <w:t>10. Conclusion</w:t>
      </w:r>
    </w:p>
    <w:p>
      <w:r>
        <w:t>HematoVision demonstrates how transfer learning can effectively be used for medical image classification, significantly enhancing diagnostic efficiency. Its versatility across healthcare, telemedicine, and education underlines its broad impact and potential for real-world application.</w:t>
      </w:r>
    </w:p>
    <w:p>
      <w:pPr>
        <w:pStyle w:val="Heading1"/>
      </w:pPr>
      <w:r>
        <w:t>11. References</w:t>
      </w:r>
    </w:p>
    <w:p>
      <w:r>
        <w:t>- BCCD Dataset: https://www.kaggle.com/paultimothymooney/blood-cells</w:t>
        <w:br/>
        <w:t>- BloodMNIST Dataset: MedMNIST Collection</w:t>
        <w:br/>
        <w:t>- TensorFlow/Keras Documentation</w:t>
        <w:br/>
        <w:t>- Relevant academic papers on transfer learning in medical imaging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