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Aptos"/>
          <w:b/>
          <w:i w:val="0"/>
          <w:color w:val="102637"/>
          <w:sz w:val="50"/>
        </w:rPr>
        <w:t>Lab 07: Read an HTTP Exchange</w:t>
      </w:r>
    </w:p>
    <w:p>
      <w:pPr>
        <w:spacing w:after="160"/>
      </w:pPr>
      <w:r>
        <w:rPr>
          <w:rFonts w:ascii="Aptos" w:hAnsi="Aptos" w:eastAsia="Aptos"/>
          <w:b w:val="0"/>
          <w:i/>
          <w:color w:val="00B894"/>
          <w:sz w:val="22"/>
        </w:rPr>
        <w:t>A scope-first bug-bounty learning exercise using browser tools and an authorised training page</w:t>
      </w:r>
    </w:p>
    <w:p>
      <w:pPr>
        <w:pStyle w:val="Heading1"/>
      </w:pPr>
      <w:r>
        <w:t>Objective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Learn to describe an HTTP request and response clearly. This exercise builds the observation and note-taking skills used before any vulnerability claim: method, path, status code, response type, and relevant security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FFF1C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9A6415"/>
                <w:sz w:val="16"/>
              </w:rPr>
              <w:t xml:space="preserve">PRACTICE BOUNDARY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Use PortSwigger Web Security Academy’s intended lab or a local, isolated OWASP Juice Shop instance. Do not test unrelated public websites, try other users’ accounts, or run scanners for this exercise.</w:t>
            </w:r>
          </w:p>
        </w:tc>
      </w:tr>
    </w:tbl>
    <w:p>
      <w:pPr>
        <w:spacing w:after="0"/>
      </w:pPr>
    </w:p>
    <w:p>
      <w:pPr>
        <w:pStyle w:val="Heading1"/>
      </w:pPr>
      <w:r>
        <w:t>Step 1 - Set up a safe observation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02637"/>
          <w:sz w:val="20"/>
        </w:rPr>
        <w:t>Open a training page you are explicitly allowed to use and read the lab instructions first.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02637"/>
          <w:sz w:val="20"/>
        </w:rPr>
        <w:t>Open your browser developer tools and select the Network panel.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02637"/>
          <w:sz w:val="20"/>
        </w:rPr>
        <w:t>Reload the training page and select an ordinary request generated by your own browser.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02637"/>
          <w:sz w:val="20"/>
        </w:rPr>
        <w:t>Record the method, path, status code, content type, and whether the response was expected. Do not copy session cookies, tokens, or personal data into your notes.</w:t>
      </w:r>
    </w:p>
    <w:p>
      <w:pPr>
        <w:pStyle w:val="Heading1"/>
      </w:pPr>
      <w:r>
        <w:t>Step 2 - Read status codes in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Code family / example</w:t>
            </w:r>
          </w:p>
        </w:tc>
        <w:tc>
          <w:tcPr>
            <w:tcW w:type="dxa" w:w="3369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Friendly explanation</w:t>
            </w:r>
          </w:p>
        </w:tc>
        <w:tc>
          <w:tcPr>
            <w:tcW w:type="dxa" w:w="3369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Careful interpretation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200 OK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The server completed the request.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Does not prove the response was secure or appropriate.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301 / 302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The server redirects the browser.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 redirect may be expected. Read the destination within the lab scope.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401 / 403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Authentication or permission is required or denied.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Do not try to bypass it on a real system. In a lab, follow the provided instructions.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404 Not Found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The requested route or resource was not found.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 404 is not automatically a vulnerability.</w:t>
            </w:r>
          </w:p>
        </w:tc>
      </w:tr>
    </w:tbl>
    <w:p>
      <w:pPr>
        <w:pStyle w:val="Heading1"/>
      </w:pPr>
      <w:r>
        <w:t>Step 3 - Make a safe observation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Example / what to record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Environment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Name of the official training lab or local app.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Request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GET /profile (training page); remove tokens and secrets.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Status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200 OK; note whether that matches the intended behaviour.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Response metadata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Content-Type and other relevant non-secret headers.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Expected vs observed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did the lab say should happen, and what actually happened?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Conclusion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Observation only, a confirmed lab issue, or inconclusive. Explain why.</w:t>
            </w:r>
          </w:p>
        </w:tc>
      </w:tr>
    </w:tbl>
    <w:p>
      <w:pPr>
        <w:pStyle w:val="Heading1"/>
      </w:pPr>
      <w:r>
        <w:t>Step 4 - Understand common header concepts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Secure cookie attribute: tells browsers to send the cookie only over secure HTTPS connections.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HttpOnly cookie attribute: prevents client-side scripts from reading the cookie through standard browser APIs.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SameSite cookie attribute: helps control when browsers attach cookies to cross-site requests.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Content-Security-Policy: a browser-enforced policy that can reduce the impact of some content-injection problems.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A missing or unusual header is a clue to review in context, not automatically a reportable vulnerability.</w:t>
      </w:r>
    </w:p>
    <w:p>
      <w:pPr>
        <w:pStyle w:val="Heading1"/>
      </w:pPr>
      <w:r>
        <w:t>Step 5 - Finish the worksheet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Use labs/bug-bounty-http-observation-worksheet.csv. Record only the training environment and non-sensitive evidence. If you identify a possible issue, confirm that the lab expects you to test it and write down the expected behaviour, observed behaviour, minimal reproduction, impact, and a defensive fix.</w:t>
      </w:r>
    </w:p>
    <w:p>
      <w:pPr>
        <w:pStyle w:val="Heading1"/>
      </w:pPr>
      <w:r>
        <w:t>Further learning</w:t>
      </w:r>
    </w:p>
    <w:p>
      <w:pPr>
        <w:pStyle w:val="ListBullet"/>
      </w:pPr>
      <w:hyperlink r:id="rId11">
        <w:r>
          <w:rPr>
            <w:color w:val="00B894"/>
            <w:u w:val="single"/>
          </w:rPr>
          <w:t>PortSwigger Web Security Academy</w:t>
        </w:r>
      </w:hyperlink>
    </w:p>
    <w:p>
      <w:pPr>
        <w:pStyle w:val="ListBullet"/>
      </w:pPr>
      <w:hyperlink r:id="rId12">
        <w:r>
          <w:rPr>
            <w:color w:val="00B894"/>
            <w:u w:val="single"/>
          </w:rPr>
          <w:t>OWASP Web Security Testing Guide</w:t>
        </w:r>
      </w:hyperlink>
    </w:p>
    <w:p>
      <w:pPr>
        <w:pStyle w:val="ListBullet"/>
      </w:pPr>
      <w:hyperlink r:id="rId13">
        <w:r>
          <w:rPr>
            <w:color w:val="00B894"/>
            <w:u w:val="single"/>
          </w:rPr>
          <w:t>OWASP Juice Shop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3FF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00B894"/>
                <w:sz w:val="16"/>
              </w:rPr>
              <w:t xml:space="preserve">STOP IF UNCLEAR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If the target is not a designated training environment or written scope is unclear, stop. The exercise is about observation and reporting, not obtaining access.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1828C"/>
        <w:sz w:val="15"/>
      </w:rPr>
      <w:t>Learn openly • Practise only in authorised environments • No job or reward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71828C"/>
        <w:sz w:val="15"/>
      </w:rPr>
      <w:t>OPENCYBERPATH  /  OPEN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Aptos" w:hAnsi="Aptos" w:eastAsia="Aptos"/>
      <w:color w:val="1026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B89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73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6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6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swigger.net/web-security" TargetMode="External"/><Relationship Id="rId12" Type="http://schemas.openxmlformats.org/officeDocument/2006/relationships/hyperlink" Target="https://owasp.org/www-project-web-security-testing-guide/" TargetMode="External"/><Relationship Id="rId13" Type="http://schemas.openxmlformats.org/officeDocument/2006/relationships/hyperlink" Target="https://owasp.org/projects/juice-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07: Read an HTTP Exchange</dc:title>
  <dc:subject/>
  <dc:creator>OpenCyberPath community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