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omic Neue" w:hAnsi="Comic Neue" w:eastAsia="Comic Neue"/>
          <w:b/>
          <w:i w:val="0"/>
          <w:color w:val="1D4C83"/>
          <w:sz w:val="50"/>
        </w:rPr>
        <w:t>Lab 06: Build a DNS Timeline</w:t>
      </w:r>
    </w:p>
    <w:p>
      <w:pPr>
        <w:spacing w:after="160"/>
      </w:pPr>
      <w:r>
        <w:rPr>
          <w:rFonts w:ascii="Comic Neue" w:hAnsi="Comic Neue" w:eastAsia="Comic Neue"/>
          <w:b w:val="0"/>
          <w:i/>
          <w:color w:val="2D73A8"/>
          <w:sz w:val="22"/>
        </w:rPr>
        <w:t>An approachable threat-hunting exercise using fictional domain lookups and reserved sample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6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2D73A8"/>
                <w:sz w:val="16"/>
              </w:rPr>
              <w:t xml:space="preserve">NOTEBOOK STYLE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Handwriting-inspired typeset notes for printing and revision; not a scan of actual handwriting.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rFonts w:ascii="Comic Neue" w:hAnsi="Comic Neue" w:eastAsia="Comic Neue"/>
          <w:b w:val="0"/>
          <w:i w:val="0"/>
          <w:color w:val="1D4C83"/>
          <w:sz w:val="20"/>
        </w:rPr>
        <w:t>Build a simple timeline from synthetic DNS records. The goal is to describe what is unusual, compare it with normal sample activity, and record what additional evidence would be needed before making a conclusion.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6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2D73A8"/>
                <w:sz w:val="16"/>
              </w:rPr>
              <w:t xml:space="preserve">SYNTHETIC ONLY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Every hostname and event is invented for this exercise. The .invalid suffix is reserved for invalid example names, and the example IPs use documentation ranges.</w:t>
            </w:r>
          </w:p>
        </w:tc>
      </w:tr>
    </w:tbl>
    <w:p>
      <w:pPr>
        <w:spacing w:after="0"/>
      </w:pPr>
    </w:p>
    <w:p>
      <w:pPr>
        <w:pStyle w:val="Heading1"/>
      </w:pPr>
      <w:r>
        <w:t>Step 1 - Inspect the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timestamp_utc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Event time in UTC.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host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Synthetic source endpoint.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dns_query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Fictional queried name.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answer_ip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Reserved documentation address, not a live indicator.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query_count_10m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Teaching count for a short time window.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label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Discussion label, not proof of malicious intent.</w:t>
            </w:r>
          </w:p>
        </w:tc>
      </w:tr>
    </w:tbl>
    <w:p>
      <w:pPr>
        <w:pStyle w:val="Heading1"/>
      </w:pPr>
      <w:r>
        <w:t>Step 2 - Build the timeline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1.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Open labs/threat-hunt-dns-samples.csv in a spreadsheet or text editor.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2.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Sort by timestamp_utc and group rows by host and dns_query.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3.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Compare repeated lookups with the normal queries in the sample.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4.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Check whether repeated events are alone sufficient to support the hypothesis; list benign explanations such as application retries.</w:t>
      </w:r>
    </w:p>
    <w:p>
      <w:pPr>
        <w:spacing w:after="32"/>
        <w:ind w:left="346" w:hanging="346"/>
      </w:pPr>
      <w:r>
        <w:rPr>
          <w:rFonts w:ascii="Comic Neue" w:hAnsi="Comic Neue" w:eastAsia="Comic Neue"/>
          <w:b/>
          <w:i w:val="0"/>
          <w:color w:val="00B894"/>
          <w:sz w:val="20"/>
        </w:rPr>
        <w:t xml:space="preserve">5. </w:t>
      </w:r>
      <w:r>
        <w:rPr>
          <w:rFonts w:ascii="Comic Neue" w:hAnsi="Comic Neue" w:eastAsia="Comic Neue"/>
          <w:b w:val="0"/>
          <w:i w:val="0"/>
          <w:color w:val="1D4C83"/>
          <w:sz w:val="20"/>
        </w:rPr>
        <w:t>Write a conclusion that states the evidence, uncertainty, and one safe next check.</w:t>
      </w:r>
    </w:p>
    <w:p>
      <w:pPr>
        <w:pStyle w:val="Heading1"/>
      </w:pPr>
      <w:r>
        <w:t>Step 3 - Ask better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5054"/>
            <w:shd w:fill="10263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Is the hostname itself enough to call this malicious?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No. A name or repetition alone is weak context.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else was happening on the host at the same time?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Process, sign-in, proxy, and endpoint events may help contextualise it.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Is the system expected to make these queries?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Baseline and application context reduce false positives.</w:t>
            </w:r>
          </w:p>
        </w:tc>
      </w:tr>
      <w:tr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What data is missing?</w:t>
            </w:r>
          </w:p>
        </w:tc>
        <w:tc>
          <w:tcPr>
            <w:tcW w:type="dxa" w:w="5054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1F6F7"/>
          </w:tcPr>
          <w:p>
            <w:r>
              <w:rPr>
                <w:rFonts w:ascii="Aptos" w:hAnsi="Aptos" w:eastAsia="Aptos"/>
                <w:b w:val="0"/>
                <w:i w:val="0"/>
                <w:color w:val="102637"/>
                <w:sz w:val="17"/>
              </w:rPr>
              <w:t>Query source process, resolver logs, and fuller time context may not be present in the sample.</w:t>
            </w:r>
          </w:p>
        </w:tc>
      </w:tr>
    </w:tbl>
    <w:p>
      <w:pPr>
        <w:pStyle w:val="Heading1"/>
      </w:pPr>
      <w:r>
        <w:t>Deliverable: one-paragraph hunt note</w:t>
      </w:r>
    </w:p>
    <w:p>
      <w:r>
        <w:rPr>
          <w:rFonts w:ascii="Comic Neue" w:hAnsi="Comic Neue" w:eastAsia="Comic Neue"/>
          <w:b w:val="0"/>
          <w:i w:val="0"/>
          <w:color w:val="1D4C83"/>
          <w:sz w:val="20"/>
        </w:rPr>
        <w:t>Question: [what pattern did you look for?] Evidence: [synthetic event IDs, times, host, query]. Interpretation: [what the pattern may suggest]. Alternative explanation: [what else could cause it]. Confidence: [low/medium/high and why]. Next step: [additional authorised evidence that would help].</w:t>
      </w:r>
    </w:p>
    <w:p>
      <w:pPr>
        <w:pStyle w:val="Heading1"/>
      </w:pPr>
      <w:r>
        <w:t>Reference</w:t>
      </w:r>
    </w:p>
    <w:p>
      <w:pPr>
        <w:pStyle w:val="ListBullet"/>
      </w:pPr>
      <w:hyperlink r:id="rId11">
        <w:r>
          <w:rPr>
            <w:color w:val="00B894"/>
            <w:u w:val="single"/>
          </w:rPr>
          <w:t>MITRE ATT&amp;CK knowledge base</w:t>
        </w:r>
      </w:hyperlink>
    </w:p>
    <w:p>
      <w:pPr>
        <w:pStyle w:val="ListBullet"/>
      </w:pPr>
      <w:hyperlink r:id="rId12">
        <w:r>
          <w:rPr>
            <w:color w:val="00B894"/>
            <w:u w:val="single"/>
          </w:rPr>
          <w:t>Microsoft threat hunting overview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3FF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i w:val="0"/>
                <w:color w:val="00B894"/>
                <w:sz w:val="16"/>
              </w:rPr>
              <w:t xml:space="preserve">SUCCESS CRITERION  </w:t>
            </w:r>
            <w:r>
              <w:rPr>
                <w:rFonts w:ascii="Aptos" w:hAnsi="Aptos" w:eastAsia="Aptos"/>
                <w:b w:val="0"/>
                <w:i w:val="0"/>
                <w:color w:val="102637"/>
                <w:sz w:val="18"/>
              </w:rPr>
              <w:t>Describe the pattern without claiming that a training label or repeated DNS lookup proves a compromise.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1828C"/>
        <w:sz w:val="15"/>
      </w:rPr>
      <w:t>Learn openly • Practise only in authorised environments • No job or reward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71828C"/>
        <w:sz w:val="15"/>
      </w:rPr>
      <w:t>OPENCYBERPATH  /  OPEN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Comic Neue" w:hAnsi="Comic Neue" w:eastAsia="Comic Neue"/>
      <w:color w:val="1D4C8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omic Neue" w:hAnsi="Comic Neue" w:eastAsia="Comic Neue"/>
      <w:b/>
      <w:bCs/>
      <w:color w:val="1D4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Comic Neue" w:hAnsi="Comic Neue" w:eastAsia="Comic Neue"/>
      <w:b/>
      <w:color w:val="1D4C8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ttack.mitre.org/" TargetMode="External"/><Relationship Id="rId12" Type="http://schemas.openxmlformats.org/officeDocument/2006/relationships/hyperlink" Target="https://learn.microsoft.com/en-us/defender-xdr/hunting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06: Build a DNS Timeline</dc:title>
  <dc:subject/>
  <dc:creator>OpenCyberPath community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