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omic Neue" w:hAnsi="Comic Neue" w:eastAsia="Comic Neue"/>
          <w:b/>
          <w:i w:val="0"/>
          <w:color w:val="1D4C83"/>
          <w:sz w:val="50"/>
        </w:rPr>
        <w:t>Threat Hunting: Find the Story in the Logs</w:t>
      </w:r>
    </w:p>
    <w:p>
      <w:pPr>
        <w:spacing w:after="160"/>
      </w:pPr>
      <w:r>
        <w:rPr>
          <w:rFonts w:ascii="Comic Neue" w:hAnsi="Comic Neue" w:eastAsia="Comic Neue"/>
          <w:b w:val="0"/>
          <w:i/>
          <w:color w:val="2D73A8"/>
          <w:sz w:val="22"/>
        </w:rPr>
        <w:t>A beginner notebook for forming a hypothesis, exploring synthetic events, and writing evidence-based findings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AF6FB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2D73A8"/>
                <w:sz w:val="16"/>
              </w:rPr>
              <w:t xml:space="preserve">NOTEBOOK STYLE  </w:t>
            </w:r>
            <w:r>
              <w:rPr>
                <w:rFonts w:ascii="Aptos" w:hAnsi="Aptos" w:eastAsia="Aptos"/>
                <w:b w:val="0"/>
                <w:i w:val="0"/>
                <w:color w:val="102637"/>
                <w:sz w:val="18"/>
              </w:rPr>
              <w:t>Handwriting-inspired typeset notes for printing and revision; not a scan of actual handwriting.</w:t>
            </w:r>
          </w:p>
        </w:tc>
      </w:tr>
    </w:tbl>
    <w:p>
      <w:pPr>
        <w:spacing w:after="0"/>
      </w:pPr>
    </w:p>
    <w:p>
      <w:pPr>
        <w:pStyle w:val="Heading1"/>
      </w:pPr>
      <w:r>
        <w:t>1. What is threat hunting?</w:t>
      </w:r>
    </w:p>
    <w:p>
      <w:r>
        <w:rPr>
          <w:rFonts w:ascii="Comic Neue" w:hAnsi="Comic Neue" w:eastAsia="Comic Neue"/>
          <w:b w:val="0"/>
          <w:i w:val="0"/>
          <w:color w:val="1D4C83"/>
          <w:sz w:val="20"/>
        </w:rPr>
        <w:t>Threat hunting is a structured search for suspicious patterns that routine alerts may not have surfaced. A hunter starts with a question, examines available telemetry, compares activity with a normal baseline, and documents what the evidence does and does not show.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FFF1CD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9A6415"/>
                <w:sz w:val="16"/>
              </w:rPr>
              <w:t xml:space="preserve">THE MINDSET  </w:t>
            </w:r>
            <w:r>
              <w:rPr>
                <w:rFonts w:ascii="Aptos" w:hAnsi="Aptos" w:eastAsia="Aptos"/>
                <w:b w:val="0"/>
                <w:i w:val="0"/>
                <w:color w:val="102637"/>
                <w:sz w:val="18"/>
              </w:rPr>
              <w:t>A pattern is a clue, not proof. Keep facts, assumptions, and unknowns separate.</w:t>
            </w:r>
          </w:p>
        </w:tc>
      </w:tr>
    </w:tbl>
    <w:p>
      <w:pPr>
        <w:spacing w:after="0"/>
      </w:pPr>
    </w:p>
    <w:p>
      <w:pPr>
        <w:pStyle w:val="Heading1"/>
      </w:pPr>
      <w:r>
        <w:t>2. A simple hunting loop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1.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Ask a focused question, such as “Do several failed logins precede a successful login in this sample?”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2.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Choose relevant records and fields: time, user, host, source address, event type, result.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3.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Set a clear time window and sort events chronologically.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4.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Compare the pattern with the expected baseline and nearby context.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5.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Validate the pattern against other benign explanations.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6.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Write a short finding with evidence, confidence, limitations, and a next check.</w:t>
      </w:r>
    </w:p>
    <w:p>
      <w:pPr>
        <w:pStyle w:val="Heading1"/>
      </w:pPr>
      <w:r>
        <w:t>3. Read the sample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54"/>
        <w:gridCol w:w="5054"/>
      </w:tblGrid>
      <w:tr>
        <w:trPr>
          <w:tblHeader w:val="true"/>
          <w:cantSplit/>
        </w:trPr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Field</w:t>
            </w:r>
          </w:p>
        </w:tc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Plain-language meaning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timestamp_utc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When the training event was recorded (UTC).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host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Synthetic device name, not a real asset.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user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Synthetic account label.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event_type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The kind of activity represented.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source_ip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Reserved documentation IP space used in training data.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result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Success, failure, allowed, or blocked.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label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Teaching label to support discussion; not a real incident verdict.</w:t>
            </w:r>
          </w:p>
        </w:tc>
      </w:tr>
    </w:tbl>
    <w:p>
      <w:pPr>
        <w:pStyle w:val="Heading1"/>
      </w:pPr>
      <w:r>
        <w:t>4. Practice: investigate a login pattern</w:t>
      </w:r>
    </w:p>
    <w:p>
      <w:r>
        <w:rPr>
          <w:rFonts w:ascii="Comic Neue" w:hAnsi="Comic Neue" w:eastAsia="Comic Neue"/>
          <w:b w:val="0"/>
          <w:i w:val="0"/>
          <w:color w:val="1D4C83"/>
          <w:sz w:val="20"/>
        </w:rPr>
        <w:t>Open threat-hunt-auth-dns-samples.csv. Every row is fabricated. Look for one account with several failures followed by a success, then check time, host, and source context.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1.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Record the case IDs and timestamps that support your hypothesis.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2.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Check whether the account and host appear elsewhere in the same sample.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3.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Write one plausible benign explanation and one alternative explanation.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4.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Identify at least two additional data sources you would seek in a real, authorised investigation.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5.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State whether the evidence supports, weakens, or leaves the hypothesis unresolved.</w:t>
      </w:r>
    </w:p>
    <w:p>
      <w:pPr>
        <w:pStyle w:val="Heading1"/>
      </w:pPr>
      <w:r>
        <w:t>5. Query-thinking example</w:t>
      </w:r>
    </w:p>
    <w:p>
      <w:r>
        <w:rPr>
          <w:rFonts w:ascii="Comic Neue" w:hAnsi="Comic Neue" w:eastAsia="Comic Neue"/>
          <w:b w:val="0"/>
          <w:i w:val="0"/>
          <w:color w:val="1D4C83"/>
          <w:sz w:val="20"/>
        </w:rPr>
        <w:t>The following KQL-shaped example illustrates the logic for a Microsoft Sentinel-style table. Column and table names vary by data source, so adapt it only inside an authorised lab with matching fields.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i w:val="0"/>
                <w:color w:val="174865"/>
                <w:sz w:val="17"/>
              </w:rPr>
              <w:t>SecurityEvent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174865"/>
                <w:sz w:val="17"/>
              </w:rPr>
              <w:t>| where EventID in (4624, 4625)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174865"/>
                <w:sz w:val="17"/>
              </w:rPr>
              <w:t>| summarize failures=countif(EventID == 4625), successes=countif(EventID == 4624) by Account, IpAddress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174865"/>
                <w:sz w:val="17"/>
              </w:rPr>
              <w:t>| where failures &gt;= 5 and successes &gt; 0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AF6FB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2D73A8"/>
                <w:sz w:val="16"/>
              </w:rPr>
              <w:t xml:space="preserve">IMPORTANT  </w:t>
            </w:r>
            <w:r>
              <w:rPr>
                <w:rFonts w:ascii="Aptos" w:hAnsi="Aptos" w:eastAsia="Aptos"/>
                <w:b w:val="0"/>
                <w:i w:val="0"/>
                <w:color w:val="102637"/>
                <w:sz w:val="18"/>
              </w:rPr>
              <w:t>This example finds a pattern worth reviewing; it cannot tell you by itself whether an account was compromised.</w:t>
            </w:r>
          </w:p>
        </w:tc>
      </w:tr>
    </w:tbl>
    <w:p>
      <w:pPr>
        <w:spacing w:after="0"/>
      </w:pPr>
    </w:p>
    <w:p>
      <w:pPr>
        <w:pStyle w:val="Heading1"/>
      </w:pPr>
      <w:r>
        <w:t>6. Finding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54"/>
        <w:gridCol w:w="5054"/>
      </w:tblGrid>
      <w:tr>
        <w:trPr>
          <w:tblHeader w:val="true"/>
          <w:cantSplit/>
        </w:trPr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Write down</w:t>
            </w:r>
          </w:p>
        </w:tc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Prompt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Question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What did I try to find?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Evidence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Which event IDs, times, hosts, users, and fields support the finding?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Alternative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What legitimate activity could explain the pattern?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Confidence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Low / medium / high, with a reason.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Unknowns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What data is missing or incomplete?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Next check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What is the safest, most useful authorised follow-up?</w:t>
            </w:r>
          </w:p>
        </w:tc>
      </w:tr>
    </w:tbl>
    <w:p>
      <w:pPr>
        <w:pStyle w:val="Heading1"/>
      </w:pPr>
      <w:r>
        <w:t>Further learning</w:t>
      </w:r>
    </w:p>
    <w:p>
      <w:pPr>
        <w:pStyle w:val="ListBullet"/>
      </w:pPr>
      <w:hyperlink r:id="rId11">
        <w:r>
          <w:rPr>
            <w:color w:val="00B894"/>
            <w:u w:val="single"/>
          </w:rPr>
          <w:t>MITRE ATT&amp;CK knowledge base</w:t>
        </w:r>
      </w:hyperlink>
    </w:p>
    <w:p>
      <w:pPr>
        <w:pStyle w:val="ListBullet"/>
      </w:pPr>
      <w:hyperlink r:id="rId12">
        <w:r>
          <w:rPr>
            <w:color w:val="00B894"/>
            <w:u w:val="single"/>
          </w:rPr>
          <w:t>Microsoft threat hunting overview</w:t>
        </w:r>
      </w:hyperlink>
    </w:p>
    <w:p>
      <w:pPr>
        <w:pStyle w:val="ListBullet"/>
      </w:pPr>
      <w:hyperlink r:id="rId13">
        <w:r>
          <w:rPr>
            <w:color w:val="00B894"/>
            <w:u w:val="single"/>
          </w:rPr>
          <w:t>KQL overview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66" w:bottom="893" w:left="106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i w:val="0"/>
        <w:color w:val="71828C"/>
        <w:sz w:val="15"/>
      </w:rPr>
      <w:t>Learn openly • Practise only in authorised environments • No job or reward guarantee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Aptos"/>
        <w:b/>
        <w:i w:val="0"/>
        <w:color w:val="71828C"/>
        <w:sz w:val="15"/>
      </w:rPr>
      <w:t>OPENCYBERPATH  /  OPEN LEARNING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9" w:lineRule="auto"/>
    </w:pPr>
    <w:rPr>
      <w:rFonts w:ascii="Comic Neue" w:hAnsi="Comic Neue" w:eastAsia="Comic Neue"/>
      <w:color w:val="1D4C8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Comic Neue" w:hAnsi="Comic Neue" w:eastAsia="Comic Neue"/>
      <w:b/>
      <w:bCs/>
      <w:color w:val="1D4C8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Comic Neue" w:hAnsi="Comic Neue" w:eastAsia="Comic Neue"/>
      <w:b/>
      <w:bCs/>
      <w:color w:val="1D4C8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omic Neue" w:hAnsi="Comic Neue" w:eastAsia="Comic Neue"/>
      <w:b/>
      <w:bCs/>
      <w:color w:val="1D4C8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Comic Neue" w:hAnsi="Comic Neue" w:eastAsia="Comic Neue"/>
      <w:b/>
      <w:color w:val="1D4C8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ttack.mitre.org/" TargetMode="External"/><Relationship Id="rId12" Type="http://schemas.openxmlformats.org/officeDocument/2006/relationships/hyperlink" Target="https://learn.microsoft.com/en-us/defender-xdr/hunting-overview" TargetMode="External"/><Relationship Id="rId13" Type="http://schemas.openxmlformats.org/officeDocument/2006/relationships/hyperlink" Target="https://learn.microsoft.com/en-us/kusto/que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Threat Hunting: Find the Story in the Logs</dc:title>
  <dc:subject/>
  <dc:creator>OpenCyberPath community contributors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