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588B9"/>
          <w:sz w:val="16"/>
        </w:rPr>
        <w:t>PATH 05  •  CLOUD SECURITY</w:t>
      </w:r>
    </w:p>
    <w:p>
      <w:pPr>
        <w:pStyle w:val="Title"/>
      </w:pPr>
      <w:r>
        <w:t>Cloud Security Posture Review</w:t>
      </w:r>
    </w:p>
    <w:p>
      <w:pPr>
        <w:spacing w:after="200"/>
      </w:pPr>
      <w:r>
        <w:t>Use this workbook to learn a repeatable method. Write what you observed separately from what you infer; never present fictional sample data as a real incident or production assessment.</w:t>
      </w:r>
    </w:p>
    <w:p>
      <w:pPr>
        <w:pStyle w:val="Heading1"/>
      </w:pPr>
      <w:r>
        <w:t>1. Review a design, not a live account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2588B9"/>
              </w:rPr>
              <w:t xml:space="preserve">LAB SCOPE  </w:t>
            </w:r>
            <w:r>
              <w:t>Use a fictional architecture or an authorised training tenant. This worksheet does not require creating cloud resources. Provider labs may incur costs; check current pricing and shut down any authorised test resources when finished.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2588B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Review field</w:t>
            </w:r>
          </w:p>
        </w:tc>
        <w:tc>
          <w:tcPr>
            <w:tcW w:type="dxa" w:w="5112"/>
            <w:shd w:fill="2588B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Learner entry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Service / fictional system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Data sensitivity and business purpose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Cloud model / provider (if applicable)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Reviewer and review date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Scope and exclusions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Assumptions / unavailable evidence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</w:tbl>
    <w:p>
      <w:pPr>
        <w:pStyle w:val="Heading1"/>
      </w:pPr>
      <w:r>
        <w:t>2. Architecture and trust boundaries</w:t>
      </w:r>
    </w:p>
    <w:p>
      <w:pPr>
        <w:spacing w:before="100"/>
      </w:pPr>
      <w:r>
        <w:rPr>
          <w:b/>
          <w:color w:val="13243A"/>
        </w:rPr>
        <w:t>Which identities can administer the environment?</w:t>
      </w:r>
    </w:p>
    <w:p>
      <w:pPr>
        <w:spacing w:after="40"/>
      </w:pPr>
      <w:r>
        <w:rPr>
          <w:color w:val="CBD5E1"/>
          <w:sz w:val="16"/>
        </w:rPr>
        <w:t>________________________________________________________________________________</w:t>
      </w:r>
    </w:p>
    <w:p>
      <w:pPr>
        <w:spacing w:before="100"/>
      </w:pPr>
      <w:r>
        <w:rPr>
          <w:b/>
          <w:color w:val="13243A"/>
        </w:rPr>
        <w:t>Which services are internet-facing, and why?</w:t>
      </w:r>
    </w:p>
    <w:p>
      <w:pPr>
        <w:spacing w:after="40"/>
      </w:pPr>
      <w:r>
        <w:rPr>
          <w:color w:val="CBD5E1"/>
          <w:sz w:val="16"/>
        </w:rPr>
        <w:t>________________________________________________________________________________</w:t>
      </w:r>
    </w:p>
    <w:p>
      <w:pPr>
        <w:spacing w:before="100"/>
      </w:pPr>
      <w:r>
        <w:rPr>
          <w:b/>
          <w:color w:val="13243A"/>
        </w:rPr>
        <w:t>Where is sensitive data stored and how does it move?</w:t>
      </w:r>
    </w:p>
    <w:p>
      <w:pPr>
        <w:spacing w:after="40"/>
      </w:pPr>
      <w:r>
        <w:rPr>
          <w:color w:val="CBD5E1"/>
          <w:sz w:val="16"/>
        </w:rPr>
        <w:t>________________________________________________________________________________</w:t>
      </w:r>
    </w:p>
    <w:p>
      <w:pPr>
        <w:spacing w:before="100"/>
      </w:pPr>
      <w:r>
        <w:rPr>
          <w:b/>
          <w:color w:val="13243A"/>
        </w:rPr>
        <w:t>Which events are logged and who can review them?</w:t>
      </w:r>
    </w:p>
    <w:p>
      <w:pPr>
        <w:spacing w:after="40"/>
      </w:pPr>
      <w:r>
        <w:rPr>
          <w:color w:val="CBD5E1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3. Security-control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2588B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2556"/>
            <w:shd w:fill="2588B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Review question</w:t>
            </w:r>
          </w:p>
        </w:tc>
        <w:tc>
          <w:tcPr>
            <w:tcW w:type="dxa" w:w="2556"/>
            <w:shd w:fill="2588B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Evidence to request</w:t>
            </w:r>
          </w:p>
        </w:tc>
        <w:tc>
          <w:tcPr>
            <w:tcW w:type="dxa" w:w="2556"/>
            <w:shd w:fill="2588B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Status / note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Identity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Least privilege, MFA, named roles, safe recovery?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Role assignments, MFA coverage, privileged sign-in audit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Network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Ingress/egress limited to business need?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Network rules, diagrams, approved exposure list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Storage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Private by default; access and encryption reviewed?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Storage policy, access logs, encryption settings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Secrets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Secrets protected and rotated; no credentials in code?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Secret-store configuration, scan or review results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Logging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Audit events collected, retained, and retrievable?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Log settings, retention, example event, alert route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Recovery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Backups protected and restore-tested?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Backup policy, last restore test, access boundary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Change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Configuration changes reviewed and attributable?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Change record, owner, version history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</w:tbl>
    <w:p>
      <w:pPr>
        <w:pStyle w:val="Heading1"/>
      </w:pPr>
      <w:r>
        <w:t>4. Prioritise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2588B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2045"/>
            <w:shd w:fill="2588B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Evidence and gap</w:t>
            </w:r>
          </w:p>
        </w:tc>
        <w:tc>
          <w:tcPr>
            <w:tcW w:type="dxa" w:w="2045"/>
            <w:shd w:fill="2588B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Risk / impact</w:t>
            </w:r>
          </w:p>
        </w:tc>
        <w:tc>
          <w:tcPr>
            <w:tcW w:type="dxa" w:w="2045"/>
            <w:shd w:fill="2588B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Recommended treatment</w:t>
            </w:r>
          </w:p>
        </w:tc>
        <w:tc>
          <w:tcPr>
            <w:tcW w:type="dxa" w:w="2045"/>
            <w:shd w:fill="2588B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Owner / review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</w:tbl>
    <w:p>
      <w:pPr>
        <w:spacing w:before="100"/>
      </w:pPr>
      <w:r>
        <w:rPr>
          <w:b/>
          <w:color w:val="13243A"/>
        </w:rPr>
        <w:t>What did this review not test?</w:t>
      </w:r>
    </w:p>
    <w:p>
      <w:pPr>
        <w:spacing w:after="40"/>
      </w:pPr>
      <w:r>
        <w:rPr>
          <w:color w:val="CBD5E1"/>
          <w:sz w:val="16"/>
        </w:rPr>
        <w:t>________________________________________________________________________________</w:t>
      </w:r>
    </w:p>
    <w:p>
      <w:pPr>
        <w:spacing w:before="100"/>
      </w:pPr>
      <w:r>
        <w:rPr>
          <w:b/>
          <w:color w:val="13243A"/>
        </w:rPr>
        <w:t>What evidence would confirm the highest-priority fix?</w:t>
      </w:r>
    </w:p>
    <w:p>
      <w:pPr>
        <w:spacing w:after="40"/>
      </w:pPr>
      <w:r>
        <w:rPr>
          <w:color w:val="CBD5E1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2588B9"/>
              </w:rPr>
              <w:t xml:space="preserve">DO NOT OVERCLAIM  </w:t>
            </w:r>
            <w:r>
              <w:t>A checklist item marked “done” is not proof by itself. Record the evidence reviewed, the date, and the remaining limitations.</w:t>
            </w:r>
          </w:p>
        </w:tc>
      </w:tr>
    </w:tbl>
    <w:p>
      <w:pPr>
        <w:spacing w:after="0"/>
      </w:pP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OPENCYBERPATH FIELD NOTEBOOK - MATCHED EXTERNAL PRACTICE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A real lab for these notes</w:t>
      </w:r>
    </w:p>
    <w:p>
      <w:pPr>
        <w:spacing w:before="0" w:after="80" w:line="240" w:lineRule="auto"/>
      </w:pPr>
      <w:r>
        <w:rPr>
          <w:rFonts w:ascii="Comic Neue" w:hAnsi="Comic Neue" w:eastAsia="Comic Neue"/>
          <w:b w:val="0"/>
          <w:i w:val="0"/>
          <w:color w:val="24344D"/>
          <w:sz w:val="20"/>
        </w:rPr>
        <w:t>Topic: Identity, network, storage, logging, recovery, and cloud posture findings. These pages connect the existing OpenCyberPath notes to specific provider-hosted exercises. The card label is intentionally generic; the exact task name and direct URL are listed here so you can open the right exercise instead of a whole catalogue.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Concept checkpoints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Review a fictional architecture or explicitly authorised training tenant.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Prioritise identity permissions, public exposure, logging coverage, encryption, backups, and recovery.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Record asset, threat scenario, evidence, likely impact, remediation, owner, and residual risk.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Cloud subscriptions, workloads, and lab resources can incur charges; never create them casually.</w:t>
      </w:r>
    </w:p>
    <w:p>
      <w:pPr>
        <w:keepNext/>
        <w:spacing w:before="0" w:after="0" w:line="240" w:lineRule="auto"/>
      </w:pPr>
      <w:r>
        <w:rPr>
          <w:rFonts w:ascii="Comic Neue" w:hAnsi="Comic Neue" w:eastAsia="Comic Neue"/>
          <w:b/>
          <w:i w:val="0"/>
          <w:color w:val="213A58"/>
          <w:sz w:val="20"/>
        </w:rPr>
        <w:t xml:space="preserve">Identify security risks by using Cloud Security Posture Management  </w:t>
      </w:r>
      <w:r>
        <w:rPr>
          <w:rFonts w:ascii="Comic Neue" w:hAnsi="Comic Neue" w:eastAsia="Comic Neue"/>
          <w:b w:val="0"/>
          <w:i/>
          <w:color w:val="007B89"/>
          <w:sz w:val="17"/>
        </w:rPr>
        <w:t>[Microsoft Learn]</w:t>
      </w:r>
    </w:p>
    <w:p>
      <w:pPr>
        <w:spacing w:before="0" w:after="20" w:line="240" w:lineRule="auto"/>
      </w:pPr>
      <w:hyperlink r:id="rId11">
        <w:r>
          <w:rPr>
            <w:color w:val="1465A8"/>
            <w:u w:val="single"/>
            <w:rFonts w:ascii="DejaVu Sans Mono" w:hAnsi="DejaVu Sans Mono" w:eastAsia="DejaVu Sans Mono"/>
            <w:sz w:val="15"/>
          </w:rPr>
          <w:t>https://learn.microsoft.com/en-us/training/modules/identify-security-risks-posture-management/</w:t>
        </w:r>
      </w:hyperlink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E6D7E"/>
          <w:sz w:val="17"/>
        </w:rPr>
        <w:t>Access note: Direct guided learning module. A live lab tenant may not be included in every unit; avoid provisioning resources unless you understand the cost.</w:t>
      </w:r>
    </w:p>
    <w:p>
      <w:pPr>
        <w:keepNext/>
        <w:spacing w:before="0" w:after="0" w:line="240" w:lineRule="auto"/>
      </w:pPr>
      <w:r>
        <w:rPr>
          <w:rFonts w:ascii="Comic Neue" w:hAnsi="Comic Neue" w:eastAsia="Comic Neue"/>
          <w:b/>
          <w:i w:val="0"/>
          <w:color w:val="213A58"/>
          <w:sz w:val="20"/>
        </w:rPr>
        <w:t xml:space="preserve">Manage your cloud security posture management  </w:t>
      </w:r>
      <w:r>
        <w:rPr>
          <w:rFonts w:ascii="Comic Neue" w:hAnsi="Comic Neue" w:eastAsia="Comic Neue"/>
          <w:b w:val="0"/>
          <w:i/>
          <w:color w:val="007B89"/>
          <w:sz w:val="17"/>
        </w:rPr>
        <w:t>[Microsoft Learn]</w:t>
      </w:r>
    </w:p>
    <w:p>
      <w:pPr>
        <w:spacing w:before="0" w:after="20" w:line="240" w:lineRule="auto"/>
      </w:pPr>
      <w:hyperlink r:id="rId12">
        <w:r>
          <w:rPr>
            <w:color w:val="1465A8"/>
            <w:u w:val="single"/>
            <w:rFonts w:ascii="DejaVu Sans Mono" w:hAnsi="DejaVu Sans Mono" w:eastAsia="DejaVu Sans Mono"/>
            <w:sz w:val="15"/>
          </w:rPr>
          <w:t>https://learn.microsoft.com/en-us/training/modules/manage-cloud-security-posture-management/</w:t>
        </w:r>
      </w:hyperlink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E6D7E"/>
          <w:sz w:val="17"/>
        </w:rPr>
        <w:t>Access note: Direct module with learning units and assessment. Account and lab access depend on the unit and current provider offer.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DF4F2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087F8C"/>
                <w:sz w:val="18"/>
              </w:rPr>
              <w:t xml:space="preserve">ACCESS CHECK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Open the exact task page and verify the current login, account tier, VM launch button, free/paid terms, and any cost notes before starting. A provider may change availability or retire a challenge.</w:t>
            </w:r>
          </w:p>
        </w:tc>
      </w:tr>
    </w:tbl>
    <w:p>
      <w:pPr>
        <w:spacing w:after="0"/>
      </w:pP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Before you click Start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Write down the provider’s target/scope and use only the instance it creates for you.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Keep this notebook beside the exercise. Use its original course data before trying commands on a local machine.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Capture timestamps, filenames, row/packet IDs, and a short explanation; redact credentials, tokens, and personal data.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If a page says retired, premium, or downloadable-only, use the alternative listed in the access note or return to the matching interactive lab above.</w:t>
      </w: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COMMAND NOTEBOOK - COPY ONE LINE AT A TIME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Commands you can explain</w:t>
      </w:r>
    </w:p>
    <w:p>
      <w:pPr>
        <w:spacing w:before="0" w:after="80" w:line="240" w:lineRule="auto"/>
      </w:pPr>
      <w:r>
        <w:rPr>
          <w:rFonts w:ascii="Comic Neue" w:hAnsi="Comic Neue" w:eastAsia="Comic Neue"/>
          <w:b/>
          <w:i w:val="0"/>
          <w:color w:val="8B4E24"/>
          <w:sz w:val="19"/>
        </w:rPr>
        <w:t>Cloud CLI examples are optional read-only checks for a lab-issued sandbox only. The default exercise uses the local fictional worksheet and incurs no cloud cost.</w:t>
      </w:r>
    </w:p>
    <w:p>
      <w:pPr>
        <w:spacing w:before="0" w:after="100" w:line="240" w:lineRule="auto"/>
      </w:pPr>
      <w:r>
        <w:rPr>
          <w:rFonts w:ascii="Comic Neue" w:hAnsi="Comic Neue" w:eastAsia="Comic Neue"/>
          <w:b w:val="0"/>
          <w:i/>
          <w:color w:val="5A6C7E"/>
          <w:sz w:val="18"/>
        </w:rPr>
        <w:t>First download the matching sample file(s) from the existing card when a command names one. Keep the data in a practice folder and never execute strings stored in evidence.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LOCAL WORKSHEET / SHOW REVIEW ROWS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Import-Csv .\cloud-security-posture-checklist.csv | Format-Table -AutoSize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Open the bundled fictional checklist; no cloud API is called.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POWERSHELL / PRESERVE CHECKLIST HASH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Get-FileHash .\cloud-security-posture-checklist.csv -Algorithm SHA256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Record which checklist version was reviewed.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AZURE CLI / CONTEXT CHECK ONLY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az account show --query "{name:name,tenantId:tenantId}" --output table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OPTIONAL: run only inside the training tenant your instructor/provider supplied. Do not run on a personal or employer account for this exercise.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AWS CLI / IDENTITY CHECK ONLY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aws sts get-caller-identity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OPTIONAL: run only inside the lab-issued AWS sandbox. It reads identity context and does not create resources; never share account IDs or credentials.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REPORT-ONLY STEP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Write down the exact resource identifier and recommendation shown by the assigned module.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Do not change permissions or create/delete resources unless the provider’s sandbox explicitly instructs 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4F0F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275D9B"/>
                <w:sz w:val="18"/>
              </w:rPr>
              <w:t xml:space="preserve">COMMAND HABIT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Check the current working directory, shell, target, and expected effect before pressing Enter. Save the exact command and the output that mattered.</w:t>
            </w:r>
          </w:p>
        </w:tc>
      </w:tr>
    </w:tbl>
    <w:p>
      <w:pPr>
        <w:spacing w:after="0"/>
      </w:pP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RUN THE EXERCISE - RECORD WHAT THE EVIDENCE REALLY SHOWS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Guided lab run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1. Open the direct Microsoft Learn posture-risk module and note whether it includes an actual sandbox.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2. Use the supplied fictional diagram and checklist if no sandbox is available.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3. For each issue, write the observed configuration, risk scenario, severity rationale, and recommended change.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4. If using a cloud sandbox, verify the active tenant/account name before running any CLI command.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5. Do not create or change cloud resources unless the exercise explicitly provisions a sandbox and discloses cost/cleanup instructions.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Evidence checklist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exact lab instance or sample file was used?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Which command/query and time range produced the observation?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is the directly observed fact, separate from your inference?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benign/alternative explanation could fit?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extra record or control would help confirm the conclusion?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Check your understanding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Is a public storage bucket automatically evidence of a data breach?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No. It is an exposure condition; the accessible data, permissions, logs, and access history require investigation.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Why record the exact account/tenant before a CLI task?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It reduces the chance of accidentally using a personal or paid production account instead of the intended sandbox.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Which areas belong in a posture review?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Identity, network boundaries, data protection, logs/monitoring, patching, backup/recovery, and governance.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1C9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8A5A00"/>
                <w:sz w:val="18"/>
              </w:rPr>
              <w:t xml:space="preserve">NOTEBOOK CLOSE-OUT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Finish with: Observation / Evidence source / Why it matters / Alternative explanation / Next check / Limitation. A careful “not enough evidence yet” is a valid professional result.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7287"/>
        <w:sz w:val="16"/>
      </w:rPr>
      <w:t>Training worksheet • fictional examples only • document scope and limitations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2588B9"/>
        <w:sz w:val="16"/>
      </w:rPr>
      <w:t>OPENCYBERPATH  /  PRACTICAL LEARNING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4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588B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3243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324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en-us/training/modules/identify-security-risks-posture-management/" TargetMode="External"/><Relationship Id="rId12" Type="http://schemas.openxmlformats.org/officeDocument/2006/relationships/hyperlink" Target="https://learn.microsoft.com/en-us/training/modules/manage-cloud-security-posture-manag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OpenCyberPath notes: Cloud security posture review</dc:title>
  <dc:subject>Expanded lab companion pages with exact provider links, scoped commands, steps, and checks.</dc:subject>
  <dc:creator>python-docx</dc:creator>
  <cp:keywords>OpenCyberPath, hands-on lab, cybersecurity notes, authorized training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