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jc w:val="center"/>
      </w:pPr>
      <w:r>
        <w:rPr>
          <w:rFonts w:ascii="Z003" w:hAnsi="Z003" w:eastAsia="Z003" w:cs="Z003"/>
          <w:b/>
          <w:i/>
          <w:color w:val="17477A"/>
          <w:sz w:val="24"/>
        </w:rPr>
        <w:t>OPENCYBERPATH</w:t>
      </w:r>
    </w:p>
    <w:p>
      <w:pPr>
        <w:spacing w:before="200" w:after="180"/>
        <w:jc w:val="center"/>
      </w:pPr>
      <w:r>
        <w:rPr>
          <w:rFonts w:ascii="Z003" w:hAnsi="Z003" w:eastAsia="Z003" w:cs="Z003"/>
          <w:b/>
          <w:i/>
          <w:color w:val="17477A"/>
          <w:sz w:val="24"/>
        </w:rPr>
        <w:t>Common Attack</w:t>
        <w:br/>
        <w:t>Patterns</w:t>
      </w:r>
    </w:p>
    <w:p>
      <w:pPr>
        <w:spacing w:after="360"/>
        <w:jc w:val="center"/>
      </w:pPr>
      <w:r>
        <w:rPr>
          <w:rFonts w:ascii="Z003" w:hAnsi="Z003" w:eastAsia="Z003" w:cs="Z003"/>
          <w:b w:val="0"/>
          <w:i/>
          <w:color w:val="17477A"/>
          <w:sz w:val="24"/>
        </w:rPr>
        <w:t>Recognise the pattern • understand the evidence • learn the defence</w:t>
      </w:r>
    </w:p>
    <w:p>
      <w:pPr>
        <w:spacing w:after="300"/>
        <w:jc w:val="center"/>
      </w:pPr>
      <w:r>
        <w:rPr>
          <w:rFonts w:ascii="Z003" w:hAnsi="Z003" w:eastAsia="Z003" w:cs="Z003"/>
          <w:b/>
          <w:i/>
          <w:color w:val="17477A"/>
          <w:sz w:val="24"/>
        </w:rPr>
        <w:t>NOTEBOOK 02  •  BEGINNER → INTERMEDIATE → ADVANCED  •  DEFENSIVE STUDY EDITION</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NOTEBOOK PROMISE  </w:t>
            </w:r>
            <w:r>
              <w:rPr>
                <w:rFonts w:ascii="Comic Neue" w:hAnsi="Comic Neue" w:eastAsia="Comic Neue" w:cs="Comic Neue"/>
                <w:b w:val="0"/>
                <w:i/>
                <w:color w:val="17477A"/>
                <w:sz w:val="18"/>
              </w:rPr>
              <w:t>Plain language first. Define every important word. Show the clue, explain what it does and does not prove, then choose a safe next step.</w:t>
            </w:r>
          </w:p>
        </w:tc>
      </w:tr>
    </w:tbl>
    <w:p>
      <w:pPr>
        <w:spacing w:after="20" w:line="144" w:lineRule="auto"/>
      </w:pPr>
    </w:p>
    <w:p>
      <w:pPr>
        <w:pStyle w:val="Heading2"/>
        <w:keepNext/>
      </w:pPr>
      <w:r>
        <w:rPr>
          <w:rFonts w:ascii="Z003" w:hAnsi="Z003" w:eastAsia="Z003" w:cs="Z003"/>
          <w:b/>
          <w:i w:val="0"/>
          <w:color w:val="B45137"/>
          <w:sz w:val="31"/>
        </w:rPr>
        <w:t>By the end, you can…</w:t>
      </w:r>
    </w:p>
    <w:p>
      <w:pPr>
        <w:pStyle w:val="ListBullet"/>
        <w:spacing w:after="50" w:line="245" w:lineRule="auto"/>
        <w:ind w:left="317" w:hanging="202"/>
      </w:pPr>
      <w:r>
        <w:rPr>
          <w:rFonts w:ascii="Z003" w:hAnsi="Z003" w:eastAsia="Z003" w:cs="Z003"/>
          <w:b w:val="0"/>
          <w:i/>
          <w:color w:val="17477A"/>
          <w:sz w:val="24"/>
        </w:rPr>
        <w:t>Explain common attack types in everyday language.</w:t>
      </w:r>
    </w:p>
    <w:p>
      <w:pPr>
        <w:pStyle w:val="ListBullet"/>
        <w:spacing w:after="50" w:line="245" w:lineRule="auto"/>
        <w:ind w:left="317" w:hanging="202"/>
      </w:pPr>
      <w:r>
        <w:rPr>
          <w:rFonts w:ascii="Z003" w:hAnsi="Z003" w:eastAsia="Z003" w:cs="Z003"/>
          <w:b w:val="0"/>
          <w:i/>
          <w:color w:val="17477A"/>
          <w:sz w:val="24"/>
        </w:rPr>
        <w:t>Recognise the difference between a vulnerability, a technique, and an attack outcome.</w:t>
      </w:r>
    </w:p>
    <w:p>
      <w:pPr>
        <w:pStyle w:val="ListBullet"/>
        <w:spacing w:after="50" w:line="245" w:lineRule="auto"/>
        <w:ind w:left="317" w:hanging="202"/>
      </w:pPr>
      <w:r>
        <w:rPr>
          <w:rFonts w:ascii="Z003" w:hAnsi="Z003" w:eastAsia="Z003" w:cs="Z003"/>
          <w:b w:val="0"/>
          <w:i/>
          <w:color w:val="17477A"/>
          <w:sz w:val="24"/>
        </w:rPr>
        <w:t>Study fictional examples and identify useful defensive evidence.</w:t>
      </w:r>
    </w:p>
    <w:p>
      <w:pPr>
        <w:pStyle w:val="ListBullet"/>
        <w:spacing w:after="50" w:line="245" w:lineRule="auto"/>
        <w:ind w:left="317" w:hanging="202"/>
      </w:pPr>
      <w:r>
        <w:rPr>
          <w:rFonts w:ascii="Z003" w:hAnsi="Z003" w:eastAsia="Z003" w:cs="Z003"/>
          <w:b w:val="0"/>
          <w:i/>
          <w:color w:val="17477A"/>
          <w:sz w:val="24"/>
        </w:rPr>
        <w:t>Connect observed behaviour to ATT&amp;CK and OWASP references carefully.</w:t>
      </w:r>
    </w:p>
    <w:p>
      <w:pPr>
        <w:pStyle w:val="ListBullet"/>
        <w:spacing w:after="50" w:line="245" w:lineRule="auto"/>
        <w:ind w:left="317" w:hanging="202"/>
      </w:pPr>
      <w:r>
        <w:rPr>
          <w:rFonts w:ascii="Z003" w:hAnsi="Z003" w:eastAsia="Z003" w:cs="Z003"/>
          <w:b w:val="0"/>
          <w:i/>
          <w:color w:val="17477A"/>
          <w:sz w:val="24"/>
        </w:rPr>
        <w:t>Practise writing safe findings without attacking real systems.</w:t>
      </w:r>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SAFETY + HONESTY  </w:t>
            </w:r>
            <w:r>
              <w:rPr>
                <w:rFonts w:ascii="Comic Neue" w:hAnsi="Comic Neue" w:eastAsia="Comic Neue" w:cs="Comic Neue"/>
                <w:b w:val="0"/>
                <w:i/>
                <w:color w:val="17477A"/>
                <w:sz w:val="18"/>
              </w:rPr>
              <w:t>This is a defensive reference, not a guide to break into systems. All examples are fictional and non-operational. Hands-on activity belongs only in your own isolated lab or an expressly authorised training environment.</w:t>
            </w:r>
          </w:p>
        </w:tc>
      </w:tr>
    </w:tbl>
    <w:p>
      <w:pPr>
        <w:spacing w:after="20" w:line="144" w:lineRule="auto"/>
      </w:pPr>
    </w:p>
    <w:p>
      <w:r>
        <w:rPr>
          <w:rFonts w:ascii="Z003" w:hAnsi="Z003" w:eastAsia="Z003" w:cs="Z003"/>
          <w:b w:val="0"/>
          <w:i/>
          <w:color w:val="17477A"/>
          <w:sz w:val="24"/>
        </w:rPr>
        <w:t>How to study: read one section, cover it, explain it aloud, then try the worked example before checking the answer.</w:t>
      </w:r>
    </w:p>
    <w:p>
      <w:pPr>
        <w:pStyle w:val="Heading1"/>
        <w:keepNext/>
        <w:pageBreakBefore/>
      </w:pPr>
      <w:r>
        <w:rPr>
          <w:rFonts w:ascii="Z003" w:hAnsi="Z003" w:eastAsia="Z003" w:cs="Z003"/>
          <w:b/>
          <w:i w:val="0"/>
          <w:color w:val="17477A"/>
          <w:sz w:val="40"/>
        </w:rPr>
        <w:t>First: what do people mean by “attack technique”?</w:t>
      </w:r>
    </w:p>
    <w:p>
      <w:pPr>
        <w:keepLines/>
        <w:spacing w:before="20" w:after="20"/>
        <w:jc w:val="center"/>
      </w:pPr>
      <w:r>
        <w:drawing>
          <wp:inline xmlns:a="http://schemas.openxmlformats.org/drawingml/2006/main" xmlns:pic="http://schemas.openxmlformats.org/drawingml/2006/picture">
            <wp:extent cx="5715000" cy="2063750"/>
            <wp:docPr id="1" name="Picture 1" descr="An abstract attack story and places defenders can interrupt it"/>
            <wp:cNvGraphicFramePr>
              <a:graphicFrameLocks noChangeAspect="1"/>
            </wp:cNvGraphicFramePr>
            <a:graphic>
              <a:graphicData uri="http://schemas.openxmlformats.org/drawingml/2006/picture">
                <pic:pic>
                  <pic:nvPicPr>
                    <pic:cNvPr id="0" name="attack-pattern-chain.png"/>
                    <pic:cNvPicPr/>
                  </pic:nvPicPr>
                  <pic:blipFill>
                    <a:blip r:embed="rId11"/>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01 • An abstract attack story and places defenders can interrupt it</w:t>
      </w:r>
    </w:p>
    <w:p>
      <w:r>
        <w:rPr>
          <w:rFonts w:ascii="Z003" w:hAnsi="Z003" w:eastAsia="Z003" w:cs="Z003"/>
          <w:b w:val="0"/>
          <w:i/>
          <w:color w:val="17477A"/>
          <w:sz w:val="24"/>
        </w:rPr>
        <w:t>A cyberattack is an attempt to misuse a system, account, application, or data. An attack technique is a way that an actor may try to reach a goal. The goal might be stealing information, interrupting a service, tricking a user, or changing data.</w:t>
      </w:r>
    </w:p>
    <w:tbl>
      <w:tblPr>
        <w:tblW w:type="auto" w:w="0"/>
        <w:jc w:val="center"/>
        <w:tblLayout w:type="autofit"/>
        <w:tblLook w:firstColumn="1" w:firstRow="1" w:lastColumn="0" w:lastRow="0" w:noHBand="0" w:noVBand="1" w:val="04A0"/>
      </w:tblPr>
      <w:tblGrid>
        <w:gridCol w:w="1728"/>
        <w:gridCol w:w="3672"/>
        <w:gridCol w:w="3888"/>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Term</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Plain meaning</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Example</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Threat</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possible source of harm.</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scammer who wants account access.</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Vulnerability</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weakness that may be abused.</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page fails to check who is allowed to view a record.</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Technique</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behaviour used to reach a goal.</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Phishing, credential misuse, or unsafe input handling.</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Exploit</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method that takes advantage of a weakness.</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training lab demonstrates an input-handling flaw.</w:t>
            </w:r>
          </w:p>
        </w:tc>
      </w:tr>
      <w:tr>
        <w:tc>
          <w:tcPr>
            <w:tcW w:type="dxa" w:w="17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Indicator</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clue left in data or systems.</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sign-in pattern that is unusual for a test account.</w:t>
            </w:r>
          </w:p>
        </w:tc>
      </w:tr>
      <w:tr>
        <w:tc>
          <w:tcPr>
            <w:tcW w:type="dxa" w:w="17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Impact</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harm or change that results.</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service outage or unauthorised data exposure.</w:t>
            </w:r>
          </w:p>
        </w:tc>
      </w:tr>
    </w:tbl>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SAFE BOUNDARY  </w:t>
            </w:r>
            <w:r>
              <w:rPr>
                <w:rFonts w:ascii="Comic Neue" w:hAnsi="Comic Neue" w:eastAsia="Comic Neue" w:cs="Comic Neue"/>
                <w:b w:val="0"/>
                <w:i/>
                <w:color w:val="17477A"/>
                <w:sz w:val="18"/>
              </w:rPr>
              <w:t>Learning about an attack is not permission to perform it. Never test random websites, accounts, Wi-Fi networks, or devices. Use a local lab, a synthetic dataset, or a program that explicitly authorises the exact activity.</w:t>
            </w:r>
          </w:p>
        </w:tc>
      </w:tr>
    </w:tbl>
    <w:p>
      <w:pPr>
        <w:spacing w:after="20" w:line="144" w:lineRule="auto"/>
      </w:pPr>
    </w:p>
    <w:p>
      <w:pPr>
        <w:pageBreakBefore/>
        <w:spacing w:before="1760" w:after="280"/>
        <w:jc w:val="center"/>
      </w:pPr>
      <w:r>
        <w:rPr>
          <w:rFonts w:ascii="Z003" w:hAnsi="Z003" w:eastAsia="Z003" w:cs="Z003"/>
          <w:b/>
          <w:i/>
          <w:color w:val="17477A"/>
          <w:sz w:val="24"/>
        </w:rPr>
        <w:t>LEVEL 01</w:t>
      </w:r>
    </w:p>
    <w:p>
      <w:pPr>
        <w:spacing w:after="240"/>
        <w:jc w:val="center"/>
      </w:pPr>
      <w:r>
        <w:rPr>
          <w:rFonts w:ascii="Z003" w:hAnsi="Z003" w:eastAsia="Z003" w:cs="Z003"/>
          <w:b/>
          <w:i/>
          <w:color w:val="17477A"/>
          <w:sz w:val="24"/>
        </w:rPr>
        <w:t>Beginner: recognise the common patterns</w:t>
      </w:r>
    </w:p>
    <w:p>
      <w:pPr>
        <w:ind w:left="576" w:right="576"/>
        <w:jc w:val="center"/>
      </w:pPr>
      <w:r>
        <w:rPr>
          <w:rFonts w:ascii="Z003" w:hAnsi="Z003" w:eastAsia="Z003" w:cs="Z003"/>
          <w:b w:val="0"/>
          <w:i/>
          <w:color w:val="17477A"/>
          <w:sz w:val="24"/>
        </w:rPr>
        <w:t>Learn what each pattern means, what it may look like, and the first safe defensive response.</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2"/>
        <w:keepNext/>
      </w:pPr>
      <w:r>
        <w:rPr>
          <w:rFonts w:ascii="Z003" w:hAnsi="Z003" w:eastAsia="Z003" w:cs="Z003"/>
          <w:b/>
          <w:i w:val="0"/>
          <w:color w:val="B45137"/>
          <w:sz w:val="31"/>
        </w:rPr>
        <w:t>1. Phishing</w:t>
      </w:r>
    </w:p>
    <w:p>
      <w:pPr>
        <w:keepLines/>
        <w:spacing w:before="20" w:after="20"/>
        <w:jc w:val="center"/>
      </w:pPr>
      <w:r>
        <w:drawing>
          <wp:inline xmlns:a="http://schemas.openxmlformats.org/drawingml/2006/main" xmlns:pic="http://schemas.openxmlformats.org/drawingml/2006/picture">
            <wp:extent cx="5715000" cy="2063750"/>
            <wp:docPr id="2" name="Picture 2" descr="How to verify an unexpected message safely"/>
            <wp:cNvGraphicFramePr>
              <a:graphicFrameLocks noChangeAspect="1"/>
            </wp:cNvGraphicFramePr>
            <a:graphic>
              <a:graphicData uri="http://schemas.openxmlformats.org/drawingml/2006/picture">
                <pic:pic>
                  <pic:nvPicPr>
                    <pic:cNvPr id="0" name="attack-phishing-decision.png"/>
                    <pic:cNvPicPr/>
                  </pic:nvPicPr>
                  <pic:blipFill>
                    <a:blip r:embed="rId12"/>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02 • How to verify an unexpected message safely</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message pretends to be from a trusted person or service to push someone into clicking, opening, paying, or sharing secrets.</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message says a student account will be disabled in ten minutes unless the student follows an unfamiliar sign-in link. The sender name looks familiar, but the reply address does not match.</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urgency, mismatched sender details, unusual links, requests for passwords or codes, unexpected attachments, or wording that does not fit the normal process.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MFA, password managers, mail filtering, verified contact methods, and a clear “report phishing” process. Do not enter credentials from an unexpected message.</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Read the fictional message below and highlight two clues. Do not open anything: “From: support@example.invalid — Your account expires now. Visit [training link omitted] and enter your password.”</w:t>
      </w:r>
    </w:p>
    <w:p>
      <w:pPr>
        <w:pStyle w:val="Heading2"/>
        <w:keepNext/>
      </w:pPr>
      <w:r>
        <w:rPr>
          <w:rFonts w:ascii="Z003" w:hAnsi="Z003" w:eastAsia="Z003" w:cs="Z003"/>
          <w:b/>
          <w:i w:val="0"/>
          <w:color w:val="B45137"/>
          <w:sz w:val="31"/>
        </w:rPr>
        <w:t>2. Social engineering</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person uses trust, fear, urgency, curiosity, or authority to influence someone into taking an unsafe action.</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caller claims to be from IT and asks a learner to read out a one-time login code. The caller knows the school name, but the request is not part of the normal support process.</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Pressure to keep a secret, requests to bypass normal approval, unusual payment or access requests, or demands for passwords and one-time codes.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Verify requests using a known official contact path. Use approval steps and train people to pause without blame.</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Write a safe response: “I will not share a code. I will contact the support desk using the published contact details.”</w:t>
      </w:r>
    </w:p>
    <w:p>
      <w:pPr>
        <w:pStyle w:val="Heading2"/>
        <w:keepNext/>
      </w:pPr>
      <w:r>
        <w:rPr>
          <w:rFonts w:ascii="Z003" w:hAnsi="Z003" w:eastAsia="Z003" w:cs="Z003"/>
          <w:b/>
          <w:i w:val="0"/>
          <w:color w:val="B45137"/>
          <w:sz w:val="31"/>
        </w:rPr>
        <w:t>3. Password guessing, spraying, and credential stuffing</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These are attempts to use passwords or stolen username/password pairs to access accounts. Guessing tries possible passwords; spraying tries a small number across many accounts; credential stuffing reuses credentials stolen elsewhere.</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identity log shows many failed sign-ins across several test accounts, followed by a sign-in that needs review. No real accounts are involved.</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Repeated failures, bursts across many accounts, unfamiliar devices, impossible-looking travel, MFA prompts the user did not initiate, or sign-in patterns different from baseline.</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unique passwords in a password manager, MFA or passkeys where available, rate limiting, breached-password protections, monitoring, and secure recovery procedures.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Review the supplied sample table and count failed sign-ins. Do not run a password-guessing tool or test another person’s account.</w:t>
      </w:r>
    </w:p>
    <w:p>
      <w:pPr>
        <w:pStyle w:val="Heading2"/>
        <w:keepNext/>
      </w:pPr>
      <w:r>
        <w:rPr>
          <w:rFonts w:ascii="Z003" w:hAnsi="Z003" w:eastAsia="Z003" w:cs="Z003"/>
          <w:b/>
          <w:i w:val="0"/>
          <w:color w:val="B45137"/>
          <w:sz w:val="31"/>
        </w:rPr>
        <w:t>4. Malware</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Malware is software created to perform unwanted or harmful actions, such as spying, stealing, damaging, or controlling a device.</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endpoint alert reports that a suspicious attachment tried to start an unexpected process. The sample includes only the alert description, not an executable file.</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processes, unusual file changes, security-tool alerts, unexplained network connections, or a program starting from an unusual location. A single sign is not proof.</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Patch systems, limit local admin rights, keep endpoint protection enabled, restrict untrusted macros and downloads, and maintain tested backups.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Examine the written alert fields in the lab worksheet. Never download or run a sample just to see what it does.</w:t>
      </w:r>
    </w:p>
    <w:p>
      <w:pPr>
        <w:pStyle w:val="Heading2"/>
        <w:keepNext/>
      </w:pPr>
      <w:r>
        <w:rPr>
          <w:rFonts w:ascii="Z003" w:hAnsi="Z003" w:eastAsia="Z003" w:cs="Z003"/>
          <w:b/>
          <w:i w:val="0"/>
          <w:color w:val="B45137"/>
          <w:sz w:val="31"/>
        </w:rPr>
        <w:t>5. Ransomware</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Ransomware is malware or an attack pattern that blocks access to data or systems, often by encrypting files, and may include threats to leak stolen data.</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organisation notices many files changing in a short time and several users cannot open shared documents. The scenario provides logs only.</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Mass file changes, unusual changes to backup services, ransom notes reported by users, endpoint detections, or sudden access problems. Validate before concluding.</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Keep offline or protected backups, test recovery, patch exposed systems, limit privileges, segment critical services, and rehearse the incident process.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Make a recovery checklist for the fictional organisation. Do not create or execute ransomware or disable protections.</w:t>
      </w:r>
    </w:p>
    <w:p>
      <w:pPr>
        <w:pStyle w:val="Heading2"/>
        <w:keepNext/>
      </w:pPr>
      <w:r>
        <w:rPr>
          <w:rFonts w:ascii="Z003" w:hAnsi="Z003" w:eastAsia="Z003" w:cs="Z003"/>
          <w:b/>
          <w:i w:val="0"/>
          <w:color w:val="B45137"/>
          <w:sz w:val="31"/>
        </w:rPr>
        <w:t>6. Denial of service (DoS / DDoS)</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denial-of-service event tries to make a service unavailable by consuming resources or overwhelming a service. DDoS uses many sources.</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training dashboard shows a fictional website receiving a sudden traffic surge while response times rise and legitimate visitors have trouble connecting.</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Unusual traffic volume, rising latency, resource saturation, spikes across many network sources, and provider mitigation alerts.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provider protections, rate limits where appropriate, capacity planning, monitoring, caching, and an incident contact path. Do not retaliate or generate attack traffic.</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Interpret a provided chart of normal versus unusually high synthetic request counts. Do not send traffic at any real service.</w:t>
      </w:r>
    </w:p>
    <w:p>
      <w:pPr>
        <w:pStyle w:val="Heading2"/>
        <w:keepNext/>
      </w:pPr>
      <w:r>
        <w:rPr>
          <w:rFonts w:ascii="Z003" w:hAnsi="Z003" w:eastAsia="Z003" w:cs="Z003"/>
          <w:b/>
          <w:i w:val="0"/>
          <w:color w:val="B45137"/>
          <w:sz w:val="31"/>
        </w:rPr>
        <w:t>7. Man-in-the-middle (MitM)</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MitM situation happens when an attacker gets between two communicating parties and may observe or alter traffic. Correctly validated encrypted connections reduce many risks.</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user joins an untrusted network and sees a browser certificate warning on a site they usually use.</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certificate warnings, suspicious network changes, unexpected redirects, or inconsistent connection details. These signs can also have benign causes.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HTTPS correctly, validate certificates, avoid sensitive work on untrusted networks when possible, use trusted VPNs where appropriate, and do not ignore warnings.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Explain why the browser warning should be checked instead of clicked through. Do not intercept anyone else’s traffic.</w:t>
      </w:r>
    </w:p>
    <w:p>
      <w:pPr>
        <w:pStyle w:val="Heading2"/>
        <w:keepNext/>
      </w:pPr>
      <w:r>
        <w:rPr>
          <w:rFonts w:ascii="Z003" w:hAnsi="Z003" w:eastAsia="Z003" w:cs="Z003"/>
          <w:b/>
          <w:i w:val="0"/>
          <w:color w:val="B45137"/>
          <w:sz w:val="31"/>
        </w:rPr>
        <w:t>8. DNS spoofing or misleading DNS results</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DNS helps translate a name into an address. If a user or resolver receives a false answer, they might reach the wrong destination.</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lab resolver returns an unexpected address for a reserved training name, and a separate known-good record is supplied for comparison.</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DNS answers, changes outside planned maintenance, lookalike domains, unusual query patterns, or certificate/name mismatches.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trustworthy resolvers, protect DNS administration, monitor records, use HTTPS and certificate validation, and verify high-risk destinations through known routes.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Compare the two fictional DNS records and write what differs. Do not change public DNS records or redirect real users.</w:t>
      </w:r>
    </w:p>
    <w:p>
      <w:pPr>
        <w:pStyle w:val="Heading2"/>
        <w:keepNext/>
      </w:pPr>
      <w:r>
        <w:rPr>
          <w:rFonts w:ascii="Z003" w:hAnsi="Z003" w:eastAsia="Z003" w:cs="Z003"/>
          <w:b/>
          <w:i w:val="0"/>
          <w:color w:val="B45137"/>
          <w:sz w:val="31"/>
        </w:rPr>
        <w:t>9. Injection flaws in web applications</w:t>
      </w:r>
    </w:p>
    <w:p>
      <w:pPr>
        <w:keepLines/>
        <w:spacing w:before="20" w:after="20"/>
        <w:jc w:val="center"/>
      </w:pPr>
      <w:r>
        <w:drawing>
          <wp:inline xmlns:a="http://schemas.openxmlformats.org/drawingml/2006/main" xmlns:pic="http://schemas.openxmlformats.org/drawingml/2006/picture">
            <wp:extent cx="5715000" cy="2063750"/>
            <wp:docPr id="3" name="Picture 3" descr="Where web applications apply security controls"/>
            <wp:cNvGraphicFramePr>
              <a:graphicFrameLocks noChangeAspect="1"/>
            </wp:cNvGraphicFramePr>
            <a:graphic>
              <a:graphicData uri="http://schemas.openxmlformats.org/drawingml/2006/picture">
                <pic:pic>
                  <pic:nvPicPr>
                    <pic:cNvPr id="0" name="attack-web-request.png"/>
                    <pic:cNvPicPr/>
                  </pic:nvPicPr>
                  <pic:blipFill>
                    <a:blip r:embed="rId13"/>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03 • Where web applications apply security controls</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Injection risk appears when an application mixes untrusted input with a command or query in a way that changes how the application interprets it.</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training app builds a database query by joining raw form text into a query string instead of using parameterised queries. No live target or attack input is used.</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database errors, unusual inputs in logs, behaviour differing from normal validation, or an application security test report.</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parameterised queries, safe APIs, server-side validation, least-privilege database accounts, and code review. Output encoding alone does not fix every injection type.</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Compare the design idea: “join user text into query text” versus “send user text as a parameter.” Explain why parameters keep data separate from query instructions.</w:t>
      </w:r>
    </w:p>
    <w:p>
      <w:pPr>
        <w:pStyle w:val="Heading2"/>
        <w:keepNext/>
      </w:pPr>
      <w:r>
        <w:rPr>
          <w:rFonts w:ascii="Z003" w:hAnsi="Z003" w:eastAsia="Z003" w:cs="Z003"/>
          <w:b/>
          <w:i w:val="0"/>
          <w:color w:val="B45137"/>
          <w:sz w:val="31"/>
        </w:rPr>
        <w:t>10. Cross-site scripting (XSS)</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XSS occurs when a website handles untrusted content in a way that lets it run as script in another user’s browser.</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comment field shows untrusted text on a page without treating it safely as text. A training report explains the risk; it contains no runnable payload.</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script-like behaviour, reports from a safe test suite, risky rendering patterns, or browser-side changes associated with untrusted content.</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context-appropriate output encoding, safe templating, input handling, and a Content Security Policy as an additional layer.</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Review a short code-review checklist in a lab and identify the output point that should treat user content as text.</w:t>
      </w:r>
    </w:p>
    <w:p>
      <w:pPr>
        <w:pStyle w:val="Heading2"/>
        <w:keepNext/>
      </w:pPr>
      <w:r>
        <w:rPr>
          <w:rFonts w:ascii="Z003" w:hAnsi="Z003" w:eastAsia="Z003" w:cs="Z003"/>
          <w:b/>
          <w:i w:val="0"/>
          <w:color w:val="B45137"/>
          <w:sz w:val="31"/>
        </w:rPr>
        <w:t>11. Broken access control</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The application does not correctly check whether a logged-in user is allowed to see or change the requested item.</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In a fictional app, a student account can view a record that belongs to another demo account because the server checks only that a user is signed in.</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A user can reach data outside their role, server responses reveal unauthorised records, or an authorisation test finds inconsistent permissions.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Check permission on the server for every sensitive action and object, deny by default, minimise access, and test owner/role boundaries.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Use two fictional accounts in a purpose-built training app and a provided checklist. Never try another person’s real record.</w:t>
      </w:r>
    </w:p>
    <w:p>
      <w:pPr>
        <w:pStyle w:val="Heading2"/>
        <w:keepNext/>
      </w:pPr>
      <w:r>
        <w:rPr>
          <w:rFonts w:ascii="Z003" w:hAnsi="Z003" w:eastAsia="Z003" w:cs="Z003"/>
          <w:b/>
          <w:i w:val="0"/>
          <w:color w:val="B45137"/>
          <w:sz w:val="31"/>
        </w:rPr>
        <w:t>12. Security misconfiguration</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system has unsafe settings, default access, unnecessary services, overly broad permissions, or incomplete logging.</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storage service intended for private documents is configured to allow public reads.</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public access, default settings, exposed debug pages, broad cloud permissions, missing logs, or services that do not need to be exposed.</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secure baselines, least privilege, configuration review, patching, secret management, continuous checks, and change approval.</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Read a fictional cloud configuration checklist and mark which settings need an owner to confirm them. Do not scan or change public systems.</w:t>
      </w:r>
    </w:p>
    <w:p>
      <w:pPr>
        <w:pStyle w:val="Heading2"/>
        <w:keepNext/>
      </w:pPr>
      <w:r>
        <w:rPr>
          <w:rFonts w:ascii="Z003" w:hAnsi="Z003" w:eastAsia="Z003" w:cs="Z003"/>
          <w:b/>
          <w:i w:val="0"/>
          <w:color w:val="B45137"/>
          <w:sz w:val="31"/>
        </w:rPr>
        <w:t>13. Software supply-chain risk</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A supply-chain incident affects the software, dependency, update, build system, or service that an organisation trusts.</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project update includes a dependency that was not reviewed. The exercise asks learners to inspect the project’s dependency and release review process.</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Unexpected package changes, unusual build activity, unsigned or unverified artefacts, dependency alerts, or a release that does not match the approved process.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Pin and review dependencies, use trusted sources, protect build credentials, verify artefacts when supported, monitor advisories, and keep a clear inventory.</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Review a sample dependency-change record and list the evidence needed before approving the update.</w:t>
      </w:r>
    </w:p>
    <w:p>
      <w:pPr>
        <w:pStyle w:val="Heading2"/>
        <w:keepNext/>
      </w:pPr>
      <w:r>
        <w:rPr>
          <w:rFonts w:ascii="Z003" w:hAnsi="Z003" w:eastAsia="Z003" w:cs="Z003"/>
          <w:b/>
          <w:i w:val="0"/>
          <w:color w:val="B45137"/>
          <w:sz w:val="31"/>
        </w:rPr>
        <w:t>14. Privilege escalation and lateral movement</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Privilege escalation means gaining more access than intended. Lateral movement means moving from one system or account to another within an environment.</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endpoint timeline shows a standard account followed by an unexpected administrator-level action and access to a second lab host.</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Privilege changes, new remote sessions, unusual administrative tools, new host-to-host relationships, or activity outside normal role patterns.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Patch systems, use separate admin identities, enforce least privilege, segment networks, monitor remote access, and review sensitive actions.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Map the synthetic timeline and identify which records need review. Do not attempt to raise privileges on a real device.</w:t>
      </w:r>
    </w:p>
    <w:p>
      <w:pPr>
        <w:pStyle w:val="Heading2"/>
        <w:keepNext/>
      </w:pPr>
      <w:r>
        <w:rPr>
          <w:rFonts w:ascii="Z003" w:hAnsi="Z003" w:eastAsia="Z003" w:cs="Z003"/>
          <w:b/>
          <w:i w:val="0"/>
          <w:color w:val="B45137"/>
          <w:sz w:val="31"/>
        </w:rPr>
        <w:t>15. Data exfiltration and insider misuse</w:t>
      </w:r>
    </w:p>
    <w:p>
      <w:pPr>
        <w:spacing w:after="90"/>
      </w:pPr>
      <w:r>
        <w:rPr>
          <w:rFonts w:ascii="Z003" w:hAnsi="Z003" w:eastAsia="Z003" w:cs="Z003"/>
          <w:b/>
          <w:i/>
          <w:color w:val="17477A"/>
          <w:sz w:val="24"/>
        </w:rPr>
        <w:t xml:space="preserve">In plain words: </w:t>
      </w:r>
      <w:r>
        <w:rPr>
          <w:rFonts w:ascii="Z003" w:hAnsi="Z003" w:eastAsia="Z003" w:cs="Z003"/>
          <w:b w:val="0"/>
          <w:i/>
          <w:color w:val="17477A"/>
          <w:sz w:val="24"/>
        </w:rPr>
        <w:t>Exfiltration is data leaving an environment. Insider misuse is harmful or policy-breaking use of legitimate access by someone inside the organisation.</w:t>
      </w:r>
    </w:p>
    <w:p>
      <w:pPr>
        <w:spacing w:after="90"/>
      </w:pPr>
      <w:r>
        <w:rPr>
          <w:rFonts w:ascii="Z003" w:hAnsi="Z003" w:eastAsia="Z003" w:cs="Z003"/>
          <w:b/>
          <w:i/>
          <w:color w:val="17477A"/>
          <w:sz w:val="24"/>
        </w:rPr>
        <w:t xml:space="preserve">Fictional example: </w:t>
      </w:r>
      <w:r>
        <w:rPr>
          <w:rFonts w:ascii="Z003" w:hAnsi="Z003" w:eastAsia="Z003" w:cs="Z003"/>
          <w:b w:val="0"/>
          <w:i/>
          <w:color w:val="17477A"/>
          <w:sz w:val="24"/>
        </w:rPr>
        <w:t>A fictional workstation transfers an unusually large set of files to a destination that is not used by the team. The data is invented and contains no private information.</w:t>
      </w:r>
    </w:p>
    <w:p>
      <w:pPr>
        <w:spacing w:after="90"/>
      </w:pPr>
      <w:r>
        <w:rPr>
          <w:rFonts w:ascii="Z003" w:hAnsi="Z003" w:eastAsia="Z003" w:cs="Z003"/>
          <w:b/>
          <w:i/>
          <w:color w:val="17477A"/>
          <w:sz w:val="24"/>
        </w:rPr>
        <w:t xml:space="preserve">What a defender might notice: </w:t>
      </w:r>
      <w:r>
        <w:rPr>
          <w:rFonts w:ascii="Z003" w:hAnsi="Z003" w:eastAsia="Z003" w:cs="Z003"/>
          <w:b w:val="0"/>
          <w:i/>
          <w:color w:val="17477A"/>
          <w:sz w:val="24"/>
        </w:rPr>
        <w:t>Unusual transfer volume, unfamiliar destinations, access to many records, removable-media events, or activity inconsistent with the user’s duties.</w:t>
      </w:r>
    </w:p>
    <w:p>
      <w:pPr>
        <w:spacing w:after="90"/>
      </w:pPr>
      <w:r>
        <w:rPr>
          <w:rFonts w:ascii="Z003" w:hAnsi="Z003" w:eastAsia="Z003" w:cs="Z003"/>
          <w:b/>
          <w:i/>
          <w:color w:val="17477A"/>
          <w:sz w:val="24"/>
        </w:rPr>
        <w:t xml:space="preserve">Reduce the risk: </w:t>
      </w:r>
      <w:r>
        <w:rPr>
          <w:rFonts w:ascii="Z003" w:hAnsi="Z003" w:eastAsia="Z003" w:cs="Z003"/>
          <w:b w:val="0"/>
          <w:i/>
          <w:color w:val="17477A"/>
          <w:sz w:val="24"/>
        </w:rPr>
        <w:t>Use data classification, least privilege, approved sharing, audit trails, egress monitoring proportionate to the risk, and fair policy-based investigations.</w:t>
      </w:r>
    </w:p>
    <w:p>
      <w:pPr>
        <w:spacing w:after="140"/>
      </w:pPr>
      <w:r>
        <w:rPr>
          <w:rFonts w:ascii="Z003" w:hAnsi="Z003" w:eastAsia="Z003" w:cs="Z003"/>
          <w:b/>
          <w:i/>
          <w:color w:val="17477A"/>
          <w:sz w:val="24"/>
        </w:rPr>
        <w:t xml:space="preserve">Safe practice: </w:t>
      </w:r>
      <w:r>
        <w:rPr>
          <w:rFonts w:ascii="Z003" w:hAnsi="Z003" w:eastAsia="Z003" w:cs="Z003"/>
          <w:b w:val="0"/>
          <w:i/>
          <w:color w:val="17477A"/>
          <w:sz w:val="24"/>
        </w:rPr>
        <w:t>Classify the sample transfer as “needs review” or “explained” and write which context is missing. Do not inspect anyone’s private files.</w:t>
      </w:r>
    </w:p>
    <w:p>
      <w:pPr>
        <w:pageBreakBefore/>
        <w:spacing w:before="1760" w:after="280"/>
        <w:jc w:val="center"/>
      </w:pPr>
      <w:r>
        <w:rPr>
          <w:rFonts w:ascii="Z003" w:hAnsi="Z003" w:eastAsia="Z003" w:cs="Z003"/>
          <w:b/>
          <w:i/>
          <w:color w:val="17477A"/>
          <w:sz w:val="24"/>
        </w:rPr>
        <w:t>LEVEL 02</w:t>
      </w:r>
    </w:p>
    <w:p>
      <w:pPr>
        <w:spacing w:after="240"/>
        <w:jc w:val="center"/>
      </w:pPr>
      <w:r>
        <w:rPr>
          <w:rFonts w:ascii="Z003" w:hAnsi="Z003" w:eastAsia="Z003" w:cs="Z003"/>
          <w:b/>
          <w:i/>
          <w:color w:val="17477A"/>
          <w:sz w:val="24"/>
        </w:rPr>
        <w:t>Intermediate: connect the evidence</w:t>
      </w:r>
    </w:p>
    <w:p>
      <w:pPr>
        <w:ind w:left="576" w:right="576"/>
        <w:jc w:val="center"/>
      </w:pPr>
      <w:r>
        <w:rPr>
          <w:rFonts w:ascii="Z003" w:hAnsi="Z003" w:eastAsia="Z003" w:cs="Z003"/>
          <w:b w:val="0"/>
          <w:i/>
          <w:color w:val="17477A"/>
          <w:sz w:val="24"/>
        </w:rPr>
        <w:t>Move from memorising names to understanding patterns across events, applications, and controls.</w:t>
      </w:r>
    </w:p>
    <w:tbl>
      <w:tblPr>
        <w:tblW w:type="auto" w:w="0"/>
        <w:jc w:val="center"/>
        <w:tblLayout w:type="autofit"/>
        <w:tblLook w:firstColumn="1" w:firstRow="1" w:lastColumn="0" w:lastRow="0" w:noHBand="0" w:noVBand="1" w:val="04A0"/>
      </w:tblPr>
      <w:tblGrid>
        <w:gridCol w:w="9576"/>
      </w:tblGrid>
      <w:tr>
        <w:tc>
          <w:tcPr>
            <w:tcW w:type="dxa" w:w="9576"/>
            <w:shd w:fill="F0ECFA"/>
            <w:tcBorders>
              <w:top w:val="nil"/>
              <w:left w:val="single" w:sz="18" w:color="6B5E9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1"/>
        <w:keepNext/>
      </w:pPr>
      <w:r>
        <w:rPr>
          <w:rFonts w:ascii="Z003" w:hAnsi="Z003" w:eastAsia="Z003" w:cs="Z003"/>
          <w:b/>
          <w:i w:val="0"/>
          <w:color w:val="17477A"/>
          <w:sz w:val="40"/>
        </w:rPr>
        <w:t>16. A simple attack story - and what defenders can learn</w:t>
      </w:r>
    </w:p>
    <w:p>
      <w:pPr>
        <w:keepLines/>
        <w:spacing w:before="20" w:after="20"/>
        <w:jc w:val="center"/>
      </w:pPr>
      <w:r>
        <w:drawing>
          <wp:inline xmlns:a="http://schemas.openxmlformats.org/drawingml/2006/main" xmlns:pic="http://schemas.openxmlformats.org/drawingml/2006/picture">
            <wp:extent cx="5715000" cy="2063750"/>
            <wp:docPr id="4" name="Picture 4" descr="Combine independent evidence sources before drawing conclusions"/>
            <wp:cNvGraphicFramePr>
              <a:graphicFrameLocks noChangeAspect="1"/>
            </wp:cNvGraphicFramePr>
            <a:graphic>
              <a:graphicData uri="http://schemas.openxmlformats.org/drawingml/2006/picture">
                <pic:pic>
                  <pic:nvPicPr>
                    <pic:cNvPr id="0" name="attack-evidence-triangulation.png"/>
                    <pic:cNvPicPr/>
                  </pic:nvPicPr>
                  <pic:blipFill>
                    <a:blip r:embed="rId14"/>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04 • Combine independent evidence sources before drawing conclusions</w:t>
      </w:r>
    </w:p>
    <w:p>
      <w:r>
        <w:rPr>
          <w:rFonts w:ascii="Z003" w:hAnsi="Z003" w:eastAsia="Z003" w:cs="Z003"/>
          <w:b w:val="0"/>
          <w:i/>
          <w:color w:val="17477A"/>
          <w:sz w:val="24"/>
        </w:rPr>
        <w:t>This is a fictional teaching scenario. It does not describe a real victim, and it does not include attack instructions or malware.</w:t>
      </w:r>
    </w:p>
    <w:tbl>
      <w:tblPr>
        <w:tblW w:type="auto" w:w="0"/>
        <w:jc w:val="center"/>
        <w:tblLayout w:type="autofit"/>
        <w:tblLook w:firstColumn="1" w:firstRow="1" w:lastColumn="0" w:lastRow="0" w:noHBand="0" w:noVBand="1" w:val="04A0"/>
      </w:tblPr>
      <w:tblGrid>
        <w:gridCol w:w="1800"/>
        <w:gridCol w:w="3456"/>
        <w:gridCol w:w="4032"/>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Possible stage</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Fictional observation</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Defender’s question</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Message received</w:t>
            </w:r>
          </w:p>
        </w:tc>
        <w:tc>
          <w:tcPr>
            <w:tcW w:type="dxa" w:w="34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user reports an unexpected account notice.</w:t>
            </w:r>
          </w:p>
        </w:tc>
        <w:tc>
          <w:tcPr>
            <w:tcW w:type="dxa" w:w="40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Was the message expected, and was it reported through the right channel?</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Link concern</w:t>
            </w:r>
          </w:p>
        </w:tc>
        <w:tc>
          <w:tcPr>
            <w:tcW w:type="dxa" w:w="34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message includes an unfamiliar sign-in destination.</w:t>
            </w:r>
          </w:p>
        </w:tc>
        <w:tc>
          <w:tcPr>
            <w:tcW w:type="dxa" w:w="40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Can the destination be verified safely without opening it?</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Identity signal</w:t>
            </w:r>
          </w:p>
        </w:tc>
        <w:tc>
          <w:tcPr>
            <w:tcW w:type="dxa" w:w="34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later sign-in record differs from the baseline.</w:t>
            </w:r>
          </w:p>
        </w:tc>
        <w:tc>
          <w:tcPr>
            <w:tcW w:type="dxa" w:w="40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the identity, device, MFA result, and time trustworthy?</w:t>
            </w:r>
          </w:p>
        </w:tc>
      </w:tr>
      <w:tr>
        <w:tc>
          <w:tcPr>
            <w:tcW w:type="dxa" w:w="180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Application access</w:t>
            </w:r>
          </w:p>
        </w:tc>
        <w:tc>
          <w:tcPr>
            <w:tcW w:type="dxa" w:w="34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sensitive application records an access attempt.</w:t>
            </w:r>
          </w:p>
        </w:tc>
        <w:tc>
          <w:tcPr>
            <w:tcW w:type="dxa" w:w="40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Did the server enforce the user’s role and object permissions?</w:t>
            </w:r>
          </w:p>
        </w:tc>
      </w:tr>
      <w:tr>
        <w:tc>
          <w:tcPr>
            <w:tcW w:type="dxa" w:w="180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Response</w:t>
            </w:r>
          </w:p>
        </w:tc>
        <w:tc>
          <w:tcPr>
            <w:tcW w:type="dxa" w:w="34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case owner requests identity review.</w:t>
            </w:r>
          </w:p>
        </w:tc>
        <w:tc>
          <w:tcPr>
            <w:tcW w:type="dxa" w:w="40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approved containment, notification, and recovery steps apply?</w:t>
            </w:r>
          </w:p>
        </w:tc>
      </w:tr>
    </w:tbl>
    <w:p/>
    <w:tbl>
      <w:tblPr>
        <w:tblW w:type="auto" w:w="0"/>
        <w:jc w:val="center"/>
        <w:tblLayout w:type="autofit"/>
        <w:tblLook w:firstColumn="1" w:firstRow="1" w:lastColumn="0" w:lastRow="0" w:noHBand="0" w:noVBand="1" w:val="04A0"/>
      </w:tblPr>
      <w:tblGrid>
        <w:gridCol w:w="9576"/>
      </w:tblGrid>
      <w:tr>
        <w:tc>
          <w:tcPr>
            <w:tcW w:type="dxa" w:w="9576"/>
            <w:shd w:fill="FFF3CF"/>
            <w:tcBorders>
              <w:top w:val="nil"/>
              <w:left w:val="single" w:sz="18" w:color="C28827"/>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IMPORTANT  </w:t>
            </w:r>
            <w:r>
              <w:rPr>
                <w:rFonts w:ascii="Comic Neue" w:hAnsi="Comic Neue" w:eastAsia="Comic Neue" w:cs="Comic Neue"/>
                <w:b w:val="0"/>
                <w:i/>
                <w:color w:val="17477A"/>
                <w:sz w:val="18"/>
              </w:rPr>
              <w:t>A timeline is a way to organise evidence, not a claim that every stage occurred. Mark unsupported stages as unknown.</w:t>
            </w:r>
          </w:p>
        </w:tc>
      </w:tr>
    </w:tbl>
    <w:p>
      <w:pPr>
        <w:spacing w:after="20" w:line="144" w:lineRule="auto"/>
      </w:pPr>
    </w:p>
    <w:p>
      <w:pPr>
        <w:pStyle w:val="Heading1"/>
        <w:keepNext/>
      </w:pPr>
      <w:r>
        <w:rPr>
          <w:rFonts w:ascii="Z003" w:hAnsi="Z003" w:eastAsia="Z003" w:cs="Z003"/>
          <w:b/>
          <w:i w:val="0"/>
          <w:color w:val="17477A"/>
          <w:sz w:val="40"/>
        </w:rPr>
        <w:t>17. Read a fictional alert before deciding</w:t>
      </w:r>
    </w:p>
    <w:tbl>
      <w:tblPr>
        <w:tblW w:type="auto" w:w="0"/>
        <w:jc w:val="center"/>
        <w:tblLayout w:type="autofit"/>
        <w:tblLook w:firstColumn="1" w:firstRow="1" w:lastColumn="0" w:lastRow="0" w:noHBand="0" w:noVBand="1" w:val="04A0"/>
      </w:tblPr>
      <w:tblGrid>
        <w:gridCol w:w="9576"/>
      </w:tblGrid>
      <w:tr>
        <w:tc>
          <w:tcPr>
            <w:tcW w:type="dxa" w:w="9576"/>
            <w:shd w:fill="EAF3FC"/>
            <w:tcBorders>
              <w:top w:val="nil"/>
              <w:left w:val="single" w:sz="18" w:color="2D6FA2"/>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ALERT SUMMARY  </w:t>
            </w:r>
            <w:r>
              <w:rPr>
                <w:rFonts w:ascii="Comic Neue" w:hAnsi="Comic Neue" w:eastAsia="Comic Neue" w:cs="Comic Neue"/>
                <w:b w:val="0"/>
                <w:i/>
                <w:color w:val="17477A"/>
                <w:sz w:val="18"/>
              </w:rPr>
              <w:t>Rule: unusual login pattern | Account: demo.learner | Time window: 10 minutes | Results: 6 failed, then 1 success | Source data: synthetic lab CSV</w:t>
            </w:r>
          </w:p>
        </w:tc>
      </w:tr>
    </w:tbl>
    <w:p>
      <w:pPr>
        <w:spacing w:after="20" w:line="144" w:lineRule="auto"/>
      </w:pPr>
    </w:p>
    <w:p>
      <w:pPr>
        <w:pStyle w:val="Heading2"/>
        <w:keepNext/>
      </w:pPr>
      <w:r>
        <w:rPr>
          <w:rFonts w:ascii="Z003" w:hAnsi="Z003" w:eastAsia="Z003" w:cs="Z003"/>
          <w:b/>
          <w:i w:val="0"/>
          <w:color w:val="B45137"/>
          <w:sz w:val="31"/>
        </w:rPr>
        <w:t>What to do</w:t>
      </w:r>
    </w:p>
    <w:p>
      <w:pPr>
        <w:pStyle w:val="ListNumber"/>
        <w:spacing w:after="50"/>
        <w:ind w:left="317" w:hanging="202"/>
      </w:pPr>
      <w:r>
        <w:rPr>
          <w:rFonts w:ascii="Z003" w:hAnsi="Z003" w:eastAsia="Z003" w:cs="Z003"/>
          <w:b w:val="0"/>
          <w:i/>
          <w:color w:val="17477A"/>
          <w:sz w:val="24"/>
        </w:rPr>
        <w:t>Verify the record time, source, account, and whether the logs were collected correctly.</w:t>
      </w:r>
    </w:p>
    <w:p>
      <w:pPr>
        <w:pStyle w:val="ListNumber"/>
        <w:spacing w:after="50"/>
        <w:ind w:left="317" w:hanging="202"/>
      </w:pPr>
      <w:r>
        <w:rPr>
          <w:rFonts w:ascii="Z003" w:hAnsi="Z003" w:eastAsia="Z003" w:cs="Z003"/>
          <w:b w:val="0"/>
          <w:i/>
          <w:color w:val="17477A"/>
          <w:sz w:val="24"/>
        </w:rPr>
        <w:t>Compare with normal behaviour for this test account and similar accounts.</w:t>
      </w:r>
    </w:p>
    <w:p>
      <w:pPr>
        <w:pStyle w:val="ListNumber"/>
        <w:spacing w:after="50"/>
        <w:ind w:left="317" w:hanging="202"/>
      </w:pPr>
      <w:r>
        <w:rPr>
          <w:rFonts w:ascii="Z003" w:hAnsi="Z003" w:eastAsia="Z003" w:cs="Z003"/>
          <w:b w:val="0"/>
          <w:i/>
          <w:color w:val="17477A"/>
          <w:sz w:val="24"/>
        </w:rPr>
        <w:t>Check MFA outcome and what happened after the successful login.</w:t>
      </w:r>
    </w:p>
    <w:p>
      <w:pPr>
        <w:pStyle w:val="ListNumber"/>
        <w:spacing w:after="50"/>
        <w:ind w:left="317" w:hanging="202"/>
      </w:pPr>
      <w:r>
        <w:rPr>
          <w:rFonts w:ascii="Z003" w:hAnsi="Z003" w:eastAsia="Z003" w:cs="Z003"/>
          <w:b w:val="0"/>
          <w:i/>
          <w:color w:val="17477A"/>
          <w:sz w:val="24"/>
        </w:rPr>
        <w:t>Consider benign explanations, including a forgotten password or an approved test.</w:t>
      </w:r>
    </w:p>
    <w:p>
      <w:pPr>
        <w:pStyle w:val="ListNumber"/>
        <w:spacing w:after="50"/>
        <w:ind w:left="317" w:hanging="202"/>
      </w:pPr>
      <w:r>
        <w:rPr>
          <w:rFonts w:ascii="Z003" w:hAnsi="Z003" w:eastAsia="Z003" w:cs="Z003"/>
          <w:b w:val="0"/>
          <w:i/>
          <w:color w:val="17477A"/>
          <w:sz w:val="24"/>
        </w:rPr>
        <w:t>Write a finding with a confidence level and a list of missing context.</w:t>
      </w:r>
    </w:p>
    <w:p>
      <w:pPr>
        <w:pStyle w:val="Heading1"/>
        <w:keepNext/>
      </w:pPr>
      <w:r>
        <w:rPr>
          <w:rFonts w:ascii="Z003" w:hAnsi="Z003" w:eastAsia="Z003" w:cs="Z003"/>
          <w:b/>
          <w:i w:val="0"/>
          <w:color w:val="17477A"/>
          <w:sz w:val="40"/>
        </w:rPr>
        <w:t>18. Web application risk categories</w:t>
      </w:r>
    </w:p>
    <w:p>
      <w:r>
        <w:rPr>
          <w:rFonts w:ascii="Z003" w:hAnsi="Z003" w:eastAsia="Z003" w:cs="Z003"/>
          <w:b w:val="0"/>
          <w:i/>
          <w:color w:val="17477A"/>
          <w:sz w:val="24"/>
        </w:rPr>
        <w:t>OWASP Top 10:2025 is an awareness starting point for web application security. These categories help you learn vocabulary and ask better review questions. They are not an exhaustive checklist, and their order is not a score for a specific application.</w:t>
      </w:r>
    </w:p>
    <w:tbl>
      <w:tblPr>
        <w:tblW w:type="auto" w:w="0"/>
        <w:jc w:val="center"/>
        <w:tblLayout w:type="autofit"/>
        <w:tblLook w:firstColumn="1" w:firstRow="1" w:lastColumn="0" w:lastRow="0" w:noHBand="0" w:noVBand="1" w:val="04A0"/>
      </w:tblPr>
      <w:tblGrid>
        <w:gridCol w:w="3528"/>
        <w:gridCol w:w="5760"/>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OWASP Top 10:2025 category</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Beginner question</w:t>
            </w:r>
          </w:p>
        </w:tc>
      </w:tr>
      <w:tr>
        <w:tc>
          <w:tcPr>
            <w:tcW w:type="dxa" w:w="35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Broken Access Control</w:t>
            </w:r>
          </w:p>
        </w:tc>
        <w:tc>
          <w:tcPr>
            <w:tcW w:type="dxa" w:w="576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Does the server check what this user is allowed to access?</w:t>
            </w:r>
          </w:p>
        </w:tc>
      </w:tr>
      <w:tr>
        <w:tc>
          <w:tcPr>
            <w:tcW w:type="dxa" w:w="35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Security Misconfiguration</w:t>
            </w:r>
          </w:p>
        </w:tc>
        <w:tc>
          <w:tcPr>
            <w:tcW w:type="dxa" w:w="576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settings, permissions, debug features, and services appropriate?</w:t>
            </w:r>
          </w:p>
        </w:tc>
      </w:tr>
      <w:tr>
        <w:tc>
          <w:tcPr>
            <w:tcW w:type="dxa" w:w="35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Software Supply Chain Failures</w:t>
            </w:r>
          </w:p>
        </w:tc>
        <w:tc>
          <w:tcPr>
            <w:tcW w:type="dxa" w:w="576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dependencies and build/update processes reviewed and protected?</w:t>
            </w:r>
          </w:p>
        </w:tc>
      </w:tr>
      <w:tr>
        <w:tc>
          <w:tcPr>
            <w:tcW w:type="dxa" w:w="35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Cryptographic Failures</w:t>
            </w:r>
          </w:p>
        </w:tc>
        <w:tc>
          <w:tcPr>
            <w:tcW w:type="dxa" w:w="576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Is sensitive information protected appropriately in storage and transit?</w:t>
            </w:r>
          </w:p>
        </w:tc>
      </w:tr>
      <w:tr>
        <w:tc>
          <w:tcPr>
            <w:tcW w:type="dxa" w:w="35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Injection</w:t>
            </w:r>
          </w:p>
        </w:tc>
        <w:tc>
          <w:tcPr>
            <w:tcW w:type="dxa" w:w="576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Is untrusted input kept separate from commands and queries?</w:t>
            </w:r>
          </w:p>
        </w:tc>
      </w:tr>
      <w:tr>
        <w:tc>
          <w:tcPr>
            <w:tcW w:type="dxa" w:w="35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Insecure Design</w:t>
            </w:r>
          </w:p>
        </w:tc>
        <w:tc>
          <w:tcPr>
            <w:tcW w:type="dxa" w:w="576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Were security needs considered before the feature was built?</w:t>
            </w:r>
          </w:p>
        </w:tc>
      </w:tr>
      <w:tr>
        <w:tc>
          <w:tcPr>
            <w:tcW w:type="dxa" w:w="35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Authentication Failures</w:t>
            </w:r>
          </w:p>
        </w:tc>
        <w:tc>
          <w:tcPr>
            <w:tcW w:type="dxa" w:w="576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Are login, session, recovery, and MFA flows safely designed?</w:t>
            </w:r>
          </w:p>
        </w:tc>
      </w:tr>
      <w:tr>
        <w:tc>
          <w:tcPr>
            <w:tcW w:type="dxa" w:w="35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Software or Data Integrity Failures</w:t>
            </w:r>
          </w:p>
        </w:tc>
        <w:tc>
          <w:tcPr>
            <w:tcW w:type="dxa" w:w="576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Can untrusted changes reach trusted processes or updates?</w:t>
            </w:r>
          </w:p>
        </w:tc>
      </w:tr>
      <w:tr>
        <w:tc>
          <w:tcPr>
            <w:tcW w:type="dxa" w:w="352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Security Logging &amp; Alerting Failures</w:t>
            </w:r>
          </w:p>
        </w:tc>
        <w:tc>
          <w:tcPr>
            <w:tcW w:type="dxa" w:w="5760"/>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Would important security behaviour be visible and investigated?</w:t>
            </w:r>
          </w:p>
        </w:tc>
      </w:tr>
      <w:tr>
        <w:tc>
          <w:tcPr>
            <w:tcW w:type="dxa" w:w="352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Mishandling of Exceptional Conditions</w:t>
            </w:r>
          </w:p>
        </w:tc>
        <w:tc>
          <w:tcPr>
            <w:tcW w:type="dxa" w:w="5760"/>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Do errors and edge cases fail safely?</w:t>
            </w:r>
          </w:p>
        </w:tc>
      </w:tr>
    </w:tbl>
    <w:p/>
    <w:tbl>
      <w:tblPr>
        <w:tblW w:type="auto" w:w="0"/>
        <w:jc w:val="center"/>
        <w:tblLayout w:type="autofit"/>
        <w:tblLook w:firstColumn="1" w:firstRow="1" w:lastColumn="0" w:lastRow="0" w:noHBand="0" w:noVBand="1" w:val="04A0"/>
      </w:tblPr>
      <w:tblGrid>
        <w:gridCol w:w="9576"/>
      </w:tblGrid>
      <w:tr>
        <w:tc>
          <w:tcPr>
            <w:tcW w:type="dxa" w:w="9576"/>
            <w:shd w:fill="F0ECFA"/>
            <w:tcBorders>
              <w:top w:val="nil"/>
              <w:left w:val="single" w:sz="18" w:color="6B5E9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VERSION NOTE  </w:t>
            </w:r>
            <w:r>
              <w:rPr>
                <w:rFonts w:ascii="Comic Neue" w:hAnsi="Comic Neue" w:eastAsia="Comic Neue" w:cs="Comic Neue"/>
                <w:b w:val="0"/>
                <w:i/>
                <w:color w:val="17477A"/>
                <w:sz w:val="18"/>
              </w:rPr>
              <w:t>This section uses OWASP Top 10:2025. Check the official page before quoting categories in reports or learning material.</w:t>
            </w:r>
          </w:p>
        </w:tc>
      </w:tr>
    </w:tbl>
    <w:p>
      <w:pPr>
        <w:spacing w:after="20" w:line="144" w:lineRule="auto"/>
      </w:pPr>
    </w:p>
    <w:p>
      <w:pPr>
        <w:pStyle w:val="Heading1"/>
        <w:keepNext/>
      </w:pPr>
      <w:r>
        <w:rPr>
          <w:rFonts w:ascii="Z003" w:hAnsi="Z003" w:eastAsia="Z003" w:cs="Z003"/>
          <w:b/>
          <w:i w:val="0"/>
          <w:color w:val="17477A"/>
          <w:sz w:val="40"/>
        </w:rPr>
        <w:t>19. Attack lifecycle words, without the movie myths</w:t>
      </w:r>
    </w:p>
    <w:p>
      <w:pPr>
        <w:keepLines/>
        <w:spacing w:before="20" w:after="20"/>
        <w:jc w:val="center"/>
      </w:pPr>
      <w:r>
        <w:drawing>
          <wp:inline xmlns:a="http://schemas.openxmlformats.org/drawingml/2006/main" xmlns:pic="http://schemas.openxmlformats.org/drawingml/2006/picture">
            <wp:extent cx="5715000" cy="2063750"/>
            <wp:docPr id="5" name="Picture 5" descr="Layered defensive opportunities across a service"/>
            <wp:cNvGraphicFramePr>
              <a:graphicFrameLocks noChangeAspect="1"/>
            </wp:cNvGraphicFramePr>
            <a:graphic>
              <a:graphicData uri="http://schemas.openxmlformats.org/drawingml/2006/picture">
                <pic:pic>
                  <pic:nvPicPr>
                    <pic:cNvPr id="0" name="attack-defense-layers.png"/>
                    <pic:cNvPicPr/>
                  </pic:nvPicPr>
                  <pic:blipFill>
                    <a:blip r:embed="rId15"/>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05 • Layered defensive opportunities across a service</w:t>
      </w:r>
    </w:p>
    <w:tbl>
      <w:tblPr>
        <w:tblW w:type="auto" w:w="0"/>
        <w:jc w:val="center"/>
        <w:tblLayout w:type="autofit"/>
        <w:tblLook w:firstColumn="1" w:firstRow="1" w:lastColumn="0" w:lastRow="0" w:noHBand="0" w:noVBand="1" w:val="04A0"/>
      </w:tblPr>
      <w:tblGrid>
        <w:gridCol w:w="2376"/>
        <w:gridCol w:w="3888"/>
        <w:gridCol w:w="3024"/>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Behaviour area</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What it means in plain language</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Defensive source to review</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Reconnaissance</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Learning about a target before an action.</w:t>
            </w:r>
          </w:p>
        </w:tc>
        <w:tc>
          <w:tcPr>
            <w:tcW w:type="dxa" w:w="302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Scope, approved asset inventory, external exposure records.</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Initial access</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enter through an account, app, or user action.</w:t>
            </w:r>
          </w:p>
        </w:tc>
        <w:tc>
          <w:tcPr>
            <w:tcW w:type="dxa" w:w="302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Identity, email, web, and remote-access telemetry.</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Execution</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program or command starts.</w:t>
            </w:r>
          </w:p>
        </w:tc>
        <w:tc>
          <w:tcPr>
            <w:tcW w:type="dxa" w:w="302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Process logs, endpoint detections, parent/child process context.</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Persistence</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remain after the initial access.</w:t>
            </w:r>
          </w:p>
        </w:tc>
        <w:tc>
          <w:tcPr>
            <w:tcW w:type="dxa" w:w="302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Approved configuration changes and startup-related records.</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Privilege escalation</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obtain more permissions.</w:t>
            </w:r>
          </w:p>
        </w:tc>
        <w:tc>
          <w:tcPr>
            <w:tcW w:type="dxa" w:w="302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Role changes, privilege events, and patch context.</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Defense evasion</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avoid or impair security visibility.</w:t>
            </w:r>
          </w:p>
        </w:tc>
        <w:tc>
          <w:tcPr>
            <w:tcW w:type="dxa" w:w="302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Security-control health and changes to logging.</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Credential access</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obtain or misuse secrets.</w:t>
            </w:r>
          </w:p>
        </w:tc>
        <w:tc>
          <w:tcPr>
            <w:tcW w:type="dxa" w:w="302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Identity alerts and credential-protection telemetry.</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Discovery / lateral movement</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Learning about or moving between systems.</w:t>
            </w:r>
          </w:p>
        </w:tc>
        <w:tc>
          <w:tcPr>
            <w:tcW w:type="dxa" w:w="302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Host and account relationships, remote sessions.</w:t>
            </w:r>
          </w:p>
        </w:tc>
      </w:tr>
      <w:tr>
        <w:tc>
          <w:tcPr>
            <w:tcW w:type="dxa" w:w="237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Collection / exfiltration</w:t>
            </w:r>
          </w:p>
        </w:tc>
        <w:tc>
          <w:tcPr>
            <w:tcW w:type="dxa" w:w="3888"/>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Gathering information and potentially moving it out.</w:t>
            </w:r>
          </w:p>
        </w:tc>
        <w:tc>
          <w:tcPr>
            <w:tcW w:type="dxa" w:w="302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Access patterns, transfer logs, approved sharing records.</w:t>
            </w:r>
          </w:p>
        </w:tc>
      </w:tr>
      <w:tr>
        <w:tc>
          <w:tcPr>
            <w:tcW w:type="dxa" w:w="237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Impact</w:t>
            </w:r>
          </w:p>
        </w:tc>
        <w:tc>
          <w:tcPr>
            <w:tcW w:type="dxa" w:w="3888"/>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Changes to availability, integrity, or operations.</w:t>
            </w:r>
          </w:p>
        </w:tc>
        <w:tc>
          <w:tcPr>
            <w:tcW w:type="dxa" w:w="302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Service health, file integrity, recovery status.</w:t>
            </w:r>
          </w:p>
        </w:tc>
      </w:tr>
    </w:tbl>
    <w:p/>
    <w:p>
      <w:pPr>
        <w:pageBreakBefore/>
        <w:spacing w:before="1760" w:after="280"/>
        <w:jc w:val="center"/>
      </w:pPr>
      <w:r>
        <w:rPr>
          <w:rFonts w:ascii="Z003" w:hAnsi="Z003" w:eastAsia="Z003" w:cs="Z003"/>
          <w:b/>
          <w:i/>
          <w:color w:val="17477A"/>
          <w:sz w:val="24"/>
        </w:rPr>
        <w:t>LEVEL 03</w:t>
      </w:r>
    </w:p>
    <w:p>
      <w:pPr>
        <w:spacing w:after="240"/>
        <w:jc w:val="center"/>
      </w:pPr>
      <w:r>
        <w:rPr>
          <w:rFonts w:ascii="Z003" w:hAnsi="Z003" w:eastAsia="Z003" w:cs="Z003"/>
          <w:b/>
          <w:i/>
          <w:color w:val="17477A"/>
          <w:sz w:val="24"/>
        </w:rPr>
        <w:t>Advanced: defensive analysis practice</w:t>
      </w:r>
    </w:p>
    <w:p>
      <w:pPr>
        <w:ind w:left="576" w:right="576"/>
        <w:jc w:val="center"/>
      </w:pPr>
      <w:r>
        <w:rPr>
          <w:rFonts w:ascii="Z003" w:hAnsi="Z003" w:eastAsia="Z003" w:cs="Z003"/>
          <w:b w:val="0"/>
          <w:i/>
          <w:color w:val="17477A"/>
          <w:sz w:val="24"/>
        </w:rPr>
        <w:t>Plan safe tests, evaluate controls, describe limitations, and turn a finding into useful action.</w:t>
      </w:r>
    </w:p>
    <w:tbl>
      <w:tblPr>
        <w:tblW w:type="auto" w:w="0"/>
        <w:jc w:val="center"/>
        <w:tblLayout w:type="autofit"/>
        <w:tblLook w:firstColumn="1" w:firstRow="1" w:lastColumn="0" w:lastRow="0" w:noHBand="0" w:noVBand="1" w:val="04A0"/>
      </w:tblPr>
      <w:tblGrid>
        <w:gridCol w:w="9576"/>
      </w:tblGrid>
      <w:tr>
        <w:tc>
          <w:tcPr>
            <w:tcW w:type="dxa" w:w="9576"/>
            <w:shd w:fill="FBE8E5"/>
            <w:tcBorders>
              <w:top w:val="nil"/>
              <w:left w:val="single" w:sz="18" w:color="B6583B"/>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YOUR GOAL  </w:t>
            </w:r>
            <w:r>
              <w:rPr>
                <w:rFonts w:ascii="Comic Neue" w:hAnsi="Comic Neue" w:eastAsia="Comic Neue" w:cs="Comic Neue"/>
                <w:b w:val="0"/>
                <w:i/>
                <w:color w:val="17477A"/>
                <w:sz w:val="18"/>
              </w:rPr>
              <w:t>Finish this level when you can explain the ideas in your own words and complete its practice without copying the answer.</w:t>
            </w:r>
          </w:p>
        </w:tc>
      </w:tr>
    </w:tbl>
    <w:p>
      <w:pPr>
        <w:spacing w:after="20" w:line="144" w:lineRule="auto"/>
      </w:pPr>
    </w:p>
    <w:p>
      <w:pPr>
        <w:pStyle w:val="Heading1"/>
        <w:keepNext/>
      </w:pPr>
      <w:r>
        <w:rPr>
          <w:rFonts w:ascii="Z003" w:hAnsi="Z003" w:eastAsia="Z003" w:cs="Z003"/>
          <w:b/>
          <w:i w:val="0"/>
          <w:color w:val="17477A"/>
          <w:sz w:val="40"/>
        </w:rPr>
        <w:t>20. Plan a safe attack-pattern learning exercise</w:t>
      </w:r>
    </w:p>
    <w:tbl>
      <w:tblPr>
        <w:tblW w:type="auto" w:w="0"/>
        <w:jc w:val="center"/>
        <w:tblLayout w:type="autofit"/>
        <w:tblLook w:firstColumn="1" w:firstRow="1" w:lastColumn="0" w:lastRow="0" w:noHBand="0" w:noVBand="1" w:val="04A0"/>
      </w:tblPr>
      <w:tblGrid>
        <w:gridCol w:w="2304"/>
        <w:gridCol w:w="6984"/>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Before the exercise</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Write this down</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Permission</w:t>
            </w:r>
          </w:p>
        </w:tc>
        <w:tc>
          <w:tcPr>
            <w:tcW w:type="dxa" w:w="69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training platform, local VM, or written scope authorises the activity?</w:t>
            </w:r>
          </w:p>
        </w:tc>
      </w:tr>
      <w:tr>
        <w:tc>
          <w:tcPr>
            <w:tcW w:type="dxa" w:w="23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Target</w:t>
            </w:r>
          </w:p>
        </w:tc>
        <w:tc>
          <w:tcPr>
            <w:tcW w:type="dxa" w:w="698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What exact lab asset is allowed, and what is explicitly out of scope?</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Purpose</w:t>
            </w:r>
          </w:p>
        </w:tc>
        <w:tc>
          <w:tcPr>
            <w:tcW w:type="dxa" w:w="69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Which security question are you trying to answer?</w:t>
            </w:r>
          </w:p>
        </w:tc>
      </w:tr>
      <w:tr>
        <w:tc>
          <w:tcPr>
            <w:tcW w:type="dxa" w:w="23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Method</w:t>
            </w:r>
          </w:p>
        </w:tc>
        <w:tc>
          <w:tcPr>
            <w:tcW w:type="dxa" w:w="698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Use the training guide’s approved steps; avoid improvising against real services.</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Stop condition</w:t>
            </w:r>
          </w:p>
        </w:tc>
        <w:tc>
          <w:tcPr>
            <w:tcW w:type="dxa" w:w="69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Stop if the activity touches real accounts/data, disrupts a service, or scope is unclear.</w:t>
            </w:r>
          </w:p>
        </w:tc>
      </w:tr>
      <w:tr>
        <w:tc>
          <w:tcPr>
            <w:tcW w:type="dxa" w:w="230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Evidence</w:t>
            </w:r>
          </w:p>
        </w:tc>
        <w:tc>
          <w:tcPr>
            <w:tcW w:type="dxa" w:w="698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Save lab result, timestamp, assumptions, and limitations; remove private data.</w:t>
            </w:r>
          </w:p>
        </w:tc>
      </w:tr>
      <w:tr>
        <w:tc>
          <w:tcPr>
            <w:tcW w:type="dxa" w:w="230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Clean-up</w:t>
            </w:r>
          </w:p>
        </w:tc>
        <w:tc>
          <w:tcPr>
            <w:tcW w:type="dxa" w:w="698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Restore the lab state and report issues through the assigned channel.</w:t>
            </w:r>
          </w:p>
        </w:tc>
      </w:tr>
    </w:tbl>
    <w:p/>
    <w:p>
      <w:pPr>
        <w:pStyle w:val="Heading1"/>
        <w:keepNext/>
      </w:pPr>
      <w:r>
        <w:rPr>
          <w:rFonts w:ascii="Z003" w:hAnsi="Z003" w:eastAsia="Z003" w:cs="Z003"/>
          <w:b/>
          <w:i w:val="0"/>
          <w:color w:val="17477A"/>
          <w:sz w:val="40"/>
        </w:rPr>
        <w:t>21. Defensive control mapping</w:t>
      </w:r>
    </w:p>
    <w:p>
      <w:pPr>
        <w:keepLines/>
        <w:spacing w:before="20" w:after="20"/>
        <w:jc w:val="center"/>
      </w:pPr>
      <w:r>
        <w:drawing>
          <wp:inline xmlns:a="http://schemas.openxmlformats.org/drawingml/2006/main" xmlns:pic="http://schemas.openxmlformats.org/drawingml/2006/picture">
            <wp:extent cx="5715000" cy="2063750"/>
            <wp:docPr id="6" name="Picture 6" descr="Prevention, detection, containment, and recovery for ransomware risk"/>
            <wp:cNvGraphicFramePr>
              <a:graphicFrameLocks noChangeAspect="1"/>
            </wp:cNvGraphicFramePr>
            <a:graphic>
              <a:graphicData uri="http://schemas.openxmlformats.org/drawingml/2006/picture">
                <pic:pic>
                  <pic:nvPicPr>
                    <pic:cNvPr id="0" name="attack-ransomware-defenses.png"/>
                    <pic:cNvPicPr/>
                  </pic:nvPicPr>
                  <pic:blipFill>
                    <a:blip r:embed="rId16"/>
                    <a:stretch>
                      <a:fillRect/>
                    </a:stretch>
                  </pic:blipFill>
                  <pic:spPr>
                    <a:xfrm>
                      <a:off x="0" y="0"/>
                      <a:ext cx="5715000" cy="2063750"/>
                    </a:xfrm>
                    <a:prstGeom prst="rect"/>
                  </pic:spPr>
                </pic:pic>
              </a:graphicData>
            </a:graphic>
          </wp:inline>
        </w:drawing>
      </w:r>
    </w:p>
    <w:p>
      <w:pPr>
        <w:keepLines/>
        <w:spacing w:before="0" w:after="80"/>
        <w:jc w:val="center"/>
      </w:pPr>
      <w:r>
        <w:rPr>
          <w:rFonts w:ascii="Z003" w:hAnsi="Z003" w:cs="Z003" w:eastAsia="Z003"/>
          <w:b w:val="0"/>
          <w:i/>
          <w:color w:val="267C75"/>
          <w:sz w:val="21"/>
        </w:rPr>
        <w:t>FIGURE 06 • Prevention, detection, containment, and recovery for ransomware risk</w:t>
      </w:r>
    </w:p>
    <w:tbl>
      <w:tblPr>
        <w:tblW w:type="auto" w:w="0"/>
        <w:jc w:val="center"/>
        <w:tblLayout w:type="autofit"/>
        <w:tblLook w:firstColumn="1" w:firstRow="1" w:lastColumn="0" w:lastRow="0" w:noHBand="0" w:noVBand="1" w:val="04A0"/>
      </w:tblPr>
      <w:tblGrid>
        <w:gridCol w:w="1872"/>
        <w:gridCol w:w="3672"/>
        <w:gridCol w:w="3744"/>
      </w:tblGrid>
      <w:tr>
        <w:trPr>
          <w:tblHeader w:val="true"/>
        </w:trPr>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Pattern</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Prevent / reduce risk</w:t>
            </w:r>
          </w:p>
        </w:tc>
        <w:tc>
          <w:tcPr>
            <w:tcW w:type="dxa" w:w="3192"/>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Detect / investigate</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Phishing</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Email filtering, MFA, verified communications, user reporting.</w:t>
            </w:r>
          </w:p>
        </w:tc>
        <w:tc>
          <w:tcPr>
            <w:tcW w:type="dxa" w:w="374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Message headers where appropriate, identity events, user report, safe URL reputation sources.</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Credential misuse</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Unique passwords, MFA/passkeys, throttling, recovery controls.</w:t>
            </w:r>
          </w:p>
        </w:tc>
        <w:tc>
          <w:tcPr>
            <w:tcW w:type="dxa" w:w="374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Failure/success sequence, device, session, MFA, baseline.</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Malware / ransomware</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Patching, least privilege, application controls, protected backups.</w:t>
            </w:r>
          </w:p>
        </w:tc>
        <w:tc>
          <w:tcPr>
            <w:tcW w:type="dxa" w:w="374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Endpoint alerts, file-change pattern, service health, recovery evidence.</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DoS/DDoS</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Provider mitigation, capacity planning, edge controls.</w:t>
            </w:r>
          </w:p>
        </w:tc>
        <w:tc>
          <w:tcPr>
            <w:tcW w:type="dxa" w:w="374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Traffic rate, latency, resource load, provider notices.</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Injection / XSS</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Safe query APIs, output encoding, validation, code review.</w:t>
            </w:r>
          </w:p>
        </w:tc>
        <w:tc>
          <w:tcPr>
            <w:tcW w:type="dxa" w:w="374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Application errors, safe test findings, relevant application logs.</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Broken access control</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Server-side authorisation, deny by default, least privilege.</w:t>
            </w:r>
          </w:p>
        </w:tc>
        <w:tc>
          <w:tcPr>
            <w:tcW w:type="dxa" w:w="374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Authorisation logs, expected role/object relationships, test reports.</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Misconfiguration</w:t>
            </w:r>
          </w:p>
        </w:tc>
        <w:tc>
          <w:tcPr>
            <w:tcW w:type="dxa" w:w="36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Secure baseline, change review, configuration monitoring.</w:t>
            </w:r>
          </w:p>
        </w:tc>
        <w:tc>
          <w:tcPr>
            <w:tcW w:type="dxa" w:w="3744"/>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Drift alerts, inventory, permission and exposure checks.</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Supply chain</w:t>
            </w:r>
          </w:p>
        </w:tc>
        <w:tc>
          <w:tcPr>
            <w:tcW w:type="dxa" w:w="36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Dependency review, protected build pipeline, verified releases.</w:t>
            </w:r>
          </w:p>
        </w:tc>
        <w:tc>
          <w:tcPr>
            <w:tcW w:type="dxa" w:w="3744"/>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Unexpected dependency/release change, advisory, artefact provenance.</w:t>
            </w:r>
          </w:p>
        </w:tc>
      </w:tr>
    </w:tbl>
    <w:p/>
    <w:p>
      <w:pPr>
        <w:pStyle w:val="Heading1"/>
        <w:keepNext/>
      </w:pPr>
      <w:r>
        <w:rPr>
          <w:rFonts w:ascii="Z003" w:hAnsi="Z003" w:eastAsia="Z003" w:cs="Z003"/>
          <w:b/>
          <w:i w:val="0"/>
          <w:color w:val="17477A"/>
          <w:sz w:val="40"/>
        </w:rPr>
        <w:t>22. Write a clear finding</w:t>
      </w:r>
    </w:p>
    <w:p>
      <w:r>
        <w:rPr>
          <w:rFonts w:ascii="Z003" w:hAnsi="Z003" w:eastAsia="Z003" w:cs="Z003"/>
          <w:b w:val="0"/>
          <w:i/>
          <w:color w:val="17477A"/>
          <w:sz w:val="24"/>
        </w:rPr>
        <w:t>A useful finding is more than a scary title. It gives the reader a fact they can verify, explains why it matters, describes uncertainty, and asks for a proportionate next step.</w:t>
      </w:r>
    </w:p>
    <w:tbl>
      <w:tblPr>
        <w:tblW w:type="auto" w:w="0"/>
        <w:jc w:val="center"/>
        <w:tblLayout w:type="autofit"/>
        <w:tblLook w:firstColumn="1" w:firstRow="1" w:lastColumn="0" w:lastRow="0" w:noHBand="0" w:noVBand="1" w:val="04A0"/>
      </w:tblPr>
      <w:tblGrid>
        <w:gridCol w:w="1872"/>
        <w:gridCol w:w="7416"/>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Field</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Example wording</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Title</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Unusual sign-in sequence in the synthetic training dataset</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Observation</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Six failed sign-ins were followed by one success within the sample time window.</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Evidence</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Training case AUTH-04, rows 12–18; times normalised to UTC.</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Meaning</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pattern deserves review; the sample does not prove compromise.</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Unknowns</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The source lacks verified MFA detail and the account owner’s confirmation.</w:t>
            </w:r>
          </w:p>
        </w:tc>
      </w:tr>
      <w:tr>
        <w:tc>
          <w:tcPr>
            <w:tcW w:type="dxa" w:w="187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Recommendation</w:t>
            </w:r>
          </w:p>
        </w:tc>
        <w:tc>
          <w:tcPr>
            <w:tcW w:type="dxa" w:w="741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Check the permitted identity records and follow the lab escalation instructions.</w:t>
            </w:r>
          </w:p>
        </w:tc>
      </w:tr>
      <w:tr>
        <w:tc>
          <w:tcPr>
            <w:tcW w:type="dxa" w:w="187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Limit</w:t>
            </w:r>
          </w:p>
        </w:tc>
        <w:tc>
          <w:tcPr>
            <w:tcW w:type="dxa" w:w="741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Fictional data only; not a production detection-performance claim.</w:t>
            </w:r>
          </w:p>
        </w:tc>
      </w:tr>
    </w:tbl>
    <w:p/>
    <w:tbl>
      <w:tblPr>
        <w:tblW w:type="auto" w:w="0"/>
        <w:jc w:val="center"/>
        <w:tblLayout w:type="autofit"/>
        <w:tblLook w:firstColumn="1" w:firstRow="1" w:lastColumn="0" w:lastRow="0" w:noHBand="0" w:noVBand="1" w:val="04A0"/>
      </w:tblPr>
      <w:tblGrid>
        <w:gridCol w:w="9576"/>
      </w:tblGrid>
      <w:tr>
        <w:tc>
          <w:tcPr>
            <w:tcW w:type="dxa" w:w="9576"/>
            <w:shd w:fill="E5F5EC"/>
            <w:tcBorders>
              <w:top w:val="nil"/>
              <w:left w:val="single" w:sz="18" w:color="237C6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QUALITY RULE  </w:t>
            </w:r>
            <w:r>
              <w:rPr>
                <w:rFonts w:ascii="Comic Neue" w:hAnsi="Comic Neue" w:eastAsia="Comic Neue" w:cs="Comic Neue"/>
                <w:b w:val="0"/>
                <w:i/>
                <w:color w:val="17477A"/>
                <w:sz w:val="18"/>
              </w:rPr>
              <w:t>Use “observed”, “suggests”, “consistent with”, or “not established” when those phrases match the evidence. Avoid “confirmed” unless the required evidence standard was met.</w:t>
            </w:r>
          </w:p>
        </w:tc>
      </w:tr>
    </w:tbl>
    <w:p>
      <w:pPr>
        <w:spacing w:after="20" w:line="144" w:lineRule="auto"/>
      </w:pPr>
    </w:p>
    <w:p>
      <w:pPr>
        <w:pStyle w:val="Heading1"/>
        <w:keepNext/>
      </w:pPr>
      <w:r>
        <w:rPr>
          <w:rFonts w:ascii="Z003" w:hAnsi="Z003" w:eastAsia="Z003" w:cs="Z003"/>
          <w:b/>
          <w:i w:val="0"/>
          <w:color w:val="17477A"/>
          <w:sz w:val="40"/>
        </w:rPr>
        <w:t>Practice exercises</w:t>
      </w:r>
    </w:p>
    <w:p>
      <w:pPr>
        <w:spacing w:after="100"/>
      </w:pPr>
      <w:r>
        <w:rPr>
          <w:rFonts w:ascii="Z003" w:hAnsi="Z003" w:eastAsia="Z003" w:cs="Z003"/>
          <w:b/>
          <w:i/>
          <w:color w:val="17477A"/>
          <w:sz w:val="24"/>
        </w:rPr>
        <w:t xml:space="preserve">Exercise A — phishing: </w:t>
      </w:r>
      <w:r>
        <w:rPr>
          <w:rFonts w:ascii="Z003" w:hAnsi="Z003" w:eastAsia="Z003" w:cs="Z003"/>
          <w:b w:val="0"/>
          <w:i/>
          <w:color w:val="17477A"/>
          <w:sz w:val="24"/>
        </w:rPr>
        <w:t>Identify two warning signs in the fictional message from Section 1 and write one safe next step.</w:t>
      </w:r>
    </w:p>
    <w:p>
      <w:pPr>
        <w:spacing w:after="100"/>
      </w:pPr>
      <w:r>
        <w:rPr>
          <w:rFonts w:ascii="Z003" w:hAnsi="Z003" w:eastAsia="Z003" w:cs="Z003"/>
          <w:b/>
          <w:i/>
          <w:color w:val="17477A"/>
          <w:sz w:val="24"/>
        </w:rPr>
        <w:t xml:space="preserve">Exercise B — identity signals: </w:t>
      </w:r>
      <w:r>
        <w:rPr>
          <w:rFonts w:ascii="Z003" w:hAnsi="Z003" w:eastAsia="Z003" w:cs="Z003"/>
          <w:b w:val="0"/>
          <w:i/>
          <w:color w:val="17477A"/>
          <w:sz w:val="24"/>
        </w:rPr>
        <w:t>Using the four-row sample from Section 17, write two observations and two unknowns.</w:t>
      </w:r>
    </w:p>
    <w:p>
      <w:pPr>
        <w:spacing w:after="100"/>
      </w:pPr>
      <w:r>
        <w:rPr>
          <w:rFonts w:ascii="Z003" w:hAnsi="Z003" w:eastAsia="Z003" w:cs="Z003"/>
          <w:b/>
          <w:i/>
          <w:color w:val="17477A"/>
          <w:sz w:val="24"/>
        </w:rPr>
        <w:t xml:space="preserve">Exercise C — web security: </w:t>
      </w:r>
      <w:r>
        <w:rPr>
          <w:rFonts w:ascii="Z003" w:hAnsi="Z003" w:eastAsia="Z003" w:cs="Z003"/>
          <w:b w:val="0"/>
          <w:i/>
          <w:color w:val="17477A"/>
          <w:sz w:val="24"/>
        </w:rPr>
        <w:t>Choose broken access control, injection, or misconfiguration. Describe one secure design decision and one test question for an authorised lab.</w:t>
      </w:r>
    </w:p>
    <w:p>
      <w:pPr>
        <w:spacing w:after="100"/>
      </w:pPr>
      <w:r>
        <w:rPr>
          <w:rFonts w:ascii="Z003" w:hAnsi="Z003" w:eastAsia="Z003" w:cs="Z003"/>
          <w:b/>
          <w:i/>
          <w:color w:val="17477A"/>
          <w:sz w:val="24"/>
        </w:rPr>
        <w:t xml:space="preserve">Exercise D — ATT&amp;CK: </w:t>
      </w:r>
      <w:r>
        <w:rPr>
          <w:rFonts w:ascii="Z003" w:hAnsi="Z003" w:eastAsia="Z003" w:cs="Z003"/>
          <w:b w:val="0"/>
          <w:i/>
          <w:color w:val="17477A"/>
          <w:sz w:val="24"/>
        </w:rPr>
        <w:t>Given a fictional alert about an unusual remote session, write the defensive records you would check before mapping a behaviour.</w:t>
      </w:r>
    </w:p>
    <w:p>
      <w:pPr>
        <w:spacing w:after="100"/>
      </w:pPr>
      <w:r>
        <w:rPr>
          <w:rFonts w:ascii="Z003" w:hAnsi="Z003" w:eastAsia="Z003" w:cs="Z003"/>
          <w:b/>
          <w:i/>
          <w:color w:val="17477A"/>
          <w:sz w:val="24"/>
        </w:rPr>
        <w:t xml:space="preserve">Exercise E — report: </w:t>
      </w:r>
      <w:r>
        <w:rPr>
          <w:rFonts w:ascii="Z003" w:hAnsi="Z003" w:eastAsia="Z003" w:cs="Z003"/>
          <w:b w:val="0"/>
          <w:i/>
          <w:color w:val="17477A"/>
          <w:sz w:val="24"/>
        </w:rPr>
        <w:t>Write a four-sentence finding with an observation, evidence reference, limitation, and next action.</w:t>
      </w:r>
    </w:p>
    <w:p>
      <w:pPr>
        <w:pStyle w:val="Heading2"/>
        <w:keepNext/>
      </w:pPr>
      <w:r>
        <w:rPr>
          <w:rFonts w:ascii="Z003" w:hAnsi="Z003" w:eastAsia="Z003" w:cs="Z003"/>
          <w:b/>
          <w:i w:val="0"/>
          <w:color w:val="B45137"/>
          <w:sz w:val="31"/>
        </w:rPr>
        <w:t>Answer-check guide</w:t>
      </w:r>
    </w:p>
    <w:p>
      <w:pPr>
        <w:pStyle w:val="ListBullet"/>
        <w:spacing w:after="50" w:line="245" w:lineRule="auto"/>
        <w:ind w:left="317" w:hanging="202"/>
      </w:pPr>
      <w:r>
        <w:rPr>
          <w:rFonts w:ascii="Z003" w:hAnsi="Z003" w:eastAsia="Z003" w:cs="Z003"/>
          <w:b w:val="0"/>
          <w:i/>
          <w:color w:val="17477A"/>
          <w:sz w:val="24"/>
        </w:rPr>
        <w:t>Phishing clues may include urgency, sender mismatch, unexpected login request, or an unusual destination. The safe step is to report and verify through a known channel.</w:t>
      </w:r>
    </w:p>
    <w:p>
      <w:pPr>
        <w:pStyle w:val="ListBullet"/>
        <w:spacing w:after="50" w:line="245" w:lineRule="auto"/>
        <w:ind w:left="317" w:hanging="202"/>
      </w:pPr>
      <w:r>
        <w:rPr>
          <w:rFonts w:ascii="Z003" w:hAnsi="Z003" w:eastAsia="Z003" w:cs="Z003"/>
          <w:b w:val="0"/>
          <w:i/>
          <w:color w:val="17477A"/>
          <w:sz w:val="24"/>
        </w:rPr>
        <w:t>Observation example: “Six failures and one success are present.” Unknowns might include whether MFA succeeded, who controls the account, and whether the data is complete.</w:t>
      </w:r>
    </w:p>
    <w:p>
      <w:pPr>
        <w:pStyle w:val="ListBullet"/>
        <w:spacing w:after="50" w:line="245" w:lineRule="auto"/>
        <w:ind w:left="317" w:hanging="202"/>
      </w:pPr>
      <w:r>
        <w:rPr>
          <w:rFonts w:ascii="Z003" w:hAnsi="Z003" w:eastAsia="Z003" w:cs="Z003"/>
          <w:b w:val="0"/>
          <w:i/>
          <w:color w:val="17477A"/>
          <w:sz w:val="24"/>
        </w:rPr>
        <w:t>Broken access control: authorise each sensitive object on the server; test owner and role boundaries using two fictional accounts in the designated lab.</w:t>
      </w:r>
    </w:p>
    <w:p>
      <w:pPr>
        <w:pStyle w:val="ListBullet"/>
        <w:spacing w:after="50" w:line="245" w:lineRule="auto"/>
        <w:ind w:left="317" w:hanging="202"/>
      </w:pPr>
      <w:r>
        <w:rPr>
          <w:rFonts w:ascii="Z003" w:hAnsi="Z003" w:eastAsia="Z003" w:cs="Z003"/>
          <w:b w:val="0"/>
          <w:i/>
          <w:color w:val="17477A"/>
          <w:sz w:val="24"/>
        </w:rPr>
        <w:t>Check the account, host, timestamp, source, expected remote administration, associated identity events, and whether the logs are trustworthy.</w:t>
      </w:r>
    </w:p>
    <w:p>
      <w:pPr>
        <w:pStyle w:val="ListBullet"/>
        <w:spacing w:after="50" w:line="245" w:lineRule="auto"/>
        <w:ind w:left="317" w:hanging="202"/>
      </w:pPr>
      <w:r>
        <w:rPr>
          <w:rFonts w:ascii="Z003" w:hAnsi="Z003" w:eastAsia="Z003" w:cs="Z003"/>
          <w:b w:val="0"/>
          <w:i/>
          <w:color w:val="17477A"/>
          <w:sz w:val="24"/>
        </w:rPr>
        <w:t>A strong report separates what was observed from what is inferred, names the data source, states uncertainty, and recommends an approved next step.</w:t>
      </w:r>
    </w:p>
    <w:p>
      <w:pPr>
        <w:pStyle w:val="Heading1"/>
        <w:keepNext/>
      </w:pPr>
      <w:r>
        <w:rPr>
          <w:rFonts w:ascii="Z003" w:hAnsi="Z003" w:eastAsia="Z003" w:cs="Z003"/>
          <w:b/>
          <w:i w:val="0"/>
          <w:color w:val="17477A"/>
          <w:sz w:val="40"/>
        </w:rPr>
        <w:t>Quick-glossary</w:t>
      </w:r>
    </w:p>
    <w:p>
      <w:r>
        <w:rPr>
          <w:rFonts w:ascii="Z003" w:hAnsi="Z003" w:eastAsia="Z003" w:cs="Z003"/>
          <w:b w:val="0"/>
          <w:i/>
          <w:color w:val="17477A"/>
          <w:sz w:val="24"/>
        </w:rPr>
        <w:t>Use this as a lookup page. You do not need to memorise every term on the first day.</w:t>
      </w:r>
    </w:p>
    <w:tbl>
      <w:tblPr>
        <w:tblW w:type="auto" w:w="0"/>
        <w:jc w:val="center"/>
        <w:tblLayout w:type="autofit"/>
        <w:tblLook w:firstColumn="1" w:firstRow="1" w:lastColumn="0" w:lastRow="0" w:noHBand="0" w:noVBand="1" w:val="04A0"/>
      </w:tblPr>
      <w:tblGrid>
        <w:gridCol w:w="2232"/>
        <w:gridCol w:w="7056"/>
      </w:tblGrid>
      <w:tr>
        <w:trPr>
          <w:tblHeader w:val="true"/>
        </w:trPr>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Word</w:t>
            </w:r>
          </w:p>
        </w:tc>
        <w:tc>
          <w:tcPr>
            <w:tcW w:type="dxa" w:w="4788"/>
            <w:vAlign w:val="center"/>
            <w:shd w:fill="194A7A"/>
            <w:tcMar>
              <w:top w:w="95" w:type="dxa"/>
              <w:start w:w="100" w:type="dxa"/>
              <w:bottom w:w="95" w:type="dxa"/>
              <w:end w:w="100" w:type="dxa"/>
            </w:tcMar>
            <w:tcBorders>
              <w:top w:val="single" w:sz="4" w:color="8BA4BA"/>
              <w:left w:val="single" w:sz="4" w:color="8BA4BA"/>
              <w:bottom w:val="single" w:sz="4" w:color="8BA4BA"/>
              <w:right w:val="single" w:sz="4" w:color="8BA4BA"/>
            </w:tcBorders>
          </w:tcPr>
          <w:p>
            <w:pPr>
              <w:spacing w:after="26" w:line="240" w:lineRule="auto"/>
            </w:pPr>
            <w:r>
              <w:rPr>
                <w:rFonts w:ascii="Comic Neue" w:hAnsi="Comic Neue" w:eastAsia="Comic Neue" w:cs="Comic Neue"/>
                <w:b/>
                <w:i/>
                <w:color w:val="FFFFFF"/>
                <w:sz w:val="18"/>
              </w:rPr>
              <w:t>Plain-language meaning</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Authentication</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Checking who someone or something is.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Authorisation</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Checking what that identity is allowed to do.</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DDoS</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Distributed denial of service; service disruption from many sources.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Injection</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Untrusted input changes the meaning of an instruction or query.</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Lateral movement</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Activity moving between systems or accounts in an environment.</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MFA</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Multifactor authentication; more than one kind of proof is used.</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MitM</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situation where a third party sits between two communicating parties.</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Persistence</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An attempt to keep access or execution available over time.</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Privilege escalation</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Obtaining more permissions than previously allowed.</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Supply chain</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Software components, people, processes, and services involved in delivery.</w:t>
            </w:r>
          </w:p>
        </w:tc>
      </w:tr>
      <w:tr>
        <w:tc>
          <w:tcPr>
            <w:tcW w:type="dxa" w:w="2232"/>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XSS</w:t>
            </w:r>
          </w:p>
        </w:tc>
        <w:tc>
          <w:tcPr>
            <w:tcW w:type="dxa" w:w="7056"/>
            <w:vAlign w:val="center"/>
            <w:shd w:fill="F2F7FB"/>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Cross-site scripting: unsafe web handling lets untrusted content run as script.</w:t>
            </w:r>
          </w:p>
        </w:tc>
      </w:tr>
      <w:tr>
        <w:tc>
          <w:tcPr>
            <w:tcW w:type="dxa" w:w="2232"/>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OWASP</w:t>
            </w:r>
          </w:p>
        </w:tc>
        <w:tc>
          <w:tcPr>
            <w:tcW w:type="dxa" w:w="7056"/>
            <w:vAlign w:val="center"/>
            <w:tcMar>
              <w:top w:w="70" w:type="dxa"/>
              <w:start w:w="90" w:type="dxa"/>
              <w:bottom w:w="70" w:type="dxa"/>
              <w:end w:w="90" w:type="dxa"/>
            </w:tcMar>
            <w:tcBorders>
              <w:top w:val="single" w:sz="3" w:color="B9C8D5"/>
              <w:left w:val="single" w:sz="3" w:color="B9C8D5"/>
              <w:bottom w:val="single" w:sz="3" w:color="B9C8D5"/>
              <w:right w:val="single" w:sz="3" w:color="B9C8D5"/>
            </w:tcBorders>
          </w:tcPr>
          <w:p>
            <w:pPr>
              <w:spacing w:after="26" w:line="240" w:lineRule="auto"/>
            </w:pPr>
            <w:r>
              <w:rPr>
                <w:rFonts w:ascii="Comic Neue" w:hAnsi="Comic Neue" w:eastAsia="Comic Neue" w:cs="Comic Neue"/>
                <w:b w:val="0"/>
                <w:i/>
                <w:color w:val="17477A"/>
                <w:sz w:val="18"/>
              </w:rPr>
              <w:t>A community project providing web application security guidance.</w:t>
            </w:r>
          </w:p>
        </w:tc>
      </w:tr>
    </w:tbl>
    <w:p/>
    <w:p>
      <w:pPr>
        <w:pStyle w:val="Heading1"/>
        <w:keepNext/>
      </w:pPr>
      <w:r>
        <w:rPr>
          <w:rFonts w:ascii="Z003" w:hAnsi="Z003" w:eastAsia="Z003" w:cs="Z003"/>
          <w:b/>
          <w:i w:val="0"/>
          <w:color w:val="17477A"/>
          <w:sz w:val="40"/>
        </w:rPr>
        <w:t>Trusted references &amp; further study</w:t>
      </w:r>
    </w:p>
    <w:p>
      <w:pPr>
        <w:keepLines/>
        <w:spacing w:before="140" w:after="100"/>
      </w:pPr>
      <w:r>
        <w:rPr>
          <w:rFonts w:ascii="Z003" w:hAnsi="Z003" w:cs="Z003" w:eastAsia="Z003"/>
          <w:b w:val="0"/>
          <w:i/>
          <w:color w:val="267C75"/>
          <w:sz w:val="24"/>
        </w:rPr>
        <w:t>FIELD NOTE • A tool, indicator, or alert does not prove intent by itself. Start with permission and scope, collect only the evidence you are authorised to use, compare independent context, and write what is known, suspected, and still unknown. Do not test unknown techniques on real people or systems.</w:t>
      </w:r>
    </w:p>
    <w:p>
      <w:r>
        <w:rPr>
          <w:rFonts w:ascii="Z003" w:hAnsi="Z003" w:eastAsia="Z003" w:cs="Z003"/>
          <w:b w:val="0"/>
          <w:i/>
          <w:color w:val="17477A"/>
          <w:sz w:val="24"/>
        </w:rPr>
        <w:t>These notes simplify the ideas for learning. For exact definitions, implementation details, and updated guidance, return to the original publisher.</w:t>
      </w:r>
    </w:p>
    <w:p>
      <w:pPr>
        <w:spacing w:after="60"/>
      </w:pPr>
      <w:r>
        <w:rPr>
          <w:rFonts w:ascii="Z003" w:hAnsi="Z003" w:eastAsia="Z003" w:cs="Z003"/>
          <w:b/>
          <w:i/>
          <w:color w:val="17477A"/>
          <w:sz w:val="24"/>
        </w:rPr>
        <w:t xml:space="preserve">OWASP Top 10:2025 — OWASP. </w:t>
      </w:r>
      <w:r>
        <w:rPr>
          <w:rFonts w:ascii="Z003" w:hAnsi="Z003" w:eastAsia="Z003" w:cs="Z003"/>
          <w:b w:val="0"/>
          <w:i/>
          <w:color w:val="17477A"/>
          <w:sz w:val="24"/>
        </w:rPr>
        <w:t>A current awareness list of important web-application risk categories.</w:t>
        <w:br/>
      </w:r>
      <w:r>
        <w:rPr>
          <w:rFonts w:ascii="Z003" w:hAnsi="Z003" w:eastAsia="Z003" w:cs="Z003"/>
          <w:b w:val="0"/>
          <w:i/>
          <w:color w:val="17477A"/>
          <w:sz w:val="24"/>
        </w:rPr>
        <w:t>https://owasp.org/www-project-top-ten/</w:t>
      </w:r>
    </w:p>
    <w:p>
      <w:pPr>
        <w:spacing w:after="60"/>
      </w:pPr>
      <w:r>
        <w:rPr>
          <w:rFonts w:ascii="Z003" w:hAnsi="Z003" w:eastAsia="Z003" w:cs="Z003"/>
          <w:b/>
          <w:i/>
          <w:color w:val="17477A"/>
          <w:sz w:val="24"/>
        </w:rPr>
        <w:t xml:space="preserve">OWASP Web Security Testing Guide — OWASP. </w:t>
      </w:r>
      <w:r>
        <w:rPr>
          <w:rFonts w:ascii="Z003" w:hAnsi="Z003" w:eastAsia="Z003" w:cs="Z003"/>
          <w:b w:val="0"/>
          <w:i/>
          <w:color w:val="17477A"/>
          <w:sz w:val="24"/>
        </w:rPr>
        <w:t>Structured web testing methodology; use only permitted testing scopes.</w:t>
        <w:br/>
      </w:r>
      <w:r>
        <w:rPr>
          <w:rFonts w:ascii="Z003" w:hAnsi="Z003" w:eastAsia="Z003" w:cs="Z003"/>
          <w:b w:val="0"/>
          <w:i/>
          <w:color w:val="17477A"/>
          <w:sz w:val="24"/>
        </w:rPr>
        <w:t>https://owasp.org/www-project-web-security-testing-guide/</w:t>
      </w:r>
    </w:p>
    <w:p>
      <w:pPr>
        <w:spacing w:after="60"/>
      </w:pPr>
      <w:r>
        <w:rPr>
          <w:rFonts w:ascii="Z003" w:hAnsi="Z003" w:eastAsia="Z003" w:cs="Z003"/>
          <w:b/>
          <w:i/>
          <w:color w:val="17477A"/>
          <w:sz w:val="24"/>
        </w:rPr>
        <w:t xml:space="preserve">MITRE ATT&amp;CK Enterprise Matrix — MITRE. </w:t>
      </w:r>
      <w:r>
        <w:rPr>
          <w:rFonts w:ascii="Z003" w:hAnsi="Z003" w:eastAsia="Z003" w:cs="Z003"/>
          <w:b w:val="0"/>
          <w:i/>
          <w:color w:val="17477A"/>
          <w:sz w:val="24"/>
        </w:rPr>
        <w:t>Shared vocabulary for observed adversary tactics and techniques.</w:t>
        <w:br/>
      </w:r>
      <w:r>
        <w:rPr>
          <w:rFonts w:ascii="Z003" w:hAnsi="Z003" w:eastAsia="Z003" w:cs="Z003"/>
          <w:b w:val="0"/>
          <w:i/>
          <w:color w:val="17477A"/>
          <w:sz w:val="24"/>
        </w:rPr>
        <w:t>https://attack.mitre.org/matrices/enterprise/</w:t>
      </w:r>
    </w:p>
    <w:p>
      <w:pPr>
        <w:spacing w:after="60"/>
      </w:pPr>
      <w:r>
        <w:rPr>
          <w:rFonts w:ascii="Z003" w:hAnsi="Z003" w:eastAsia="Z003" w:cs="Z003"/>
          <w:b/>
          <w:i/>
          <w:color w:val="17477A"/>
          <w:sz w:val="24"/>
        </w:rPr>
        <w:t xml:space="preserve">Secure Our World — CISA. </w:t>
      </w:r>
      <w:r>
        <w:rPr>
          <w:rFonts w:ascii="Z003" w:hAnsi="Z003" w:eastAsia="Z003" w:cs="Z003"/>
          <w:b w:val="0"/>
          <w:i/>
          <w:color w:val="17477A"/>
          <w:sz w:val="24"/>
        </w:rPr>
        <w:t>Plain-language actions for phishing, strong passwords, password managers, and multifactor authentication.</w:t>
        <w:br/>
      </w:r>
      <w:r>
        <w:rPr>
          <w:rFonts w:ascii="Z003" w:hAnsi="Z003" w:eastAsia="Z003" w:cs="Z003"/>
          <w:b w:val="0"/>
          <w:i/>
          <w:color w:val="17477A"/>
          <w:sz w:val="24"/>
        </w:rPr>
        <w:t>https://www.cisa.gov/secure-our-world</w:t>
      </w:r>
    </w:p>
    <w:p>
      <w:pPr>
        <w:spacing w:after="60"/>
      </w:pPr>
      <w:r>
        <w:rPr>
          <w:rFonts w:ascii="Z003" w:hAnsi="Z003" w:eastAsia="Z003" w:cs="Z003"/>
          <w:b/>
          <w:i/>
          <w:color w:val="17477A"/>
          <w:sz w:val="24"/>
        </w:rPr>
        <w:t xml:space="preserve">#StopRansomware Guide — CISA and partners. </w:t>
      </w:r>
      <w:r>
        <w:rPr>
          <w:rFonts w:ascii="Z003" w:hAnsi="Z003" w:eastAsia="Z003" w:cs="Z003"/>
          <w:b w:val="0"/>
          <w:i/>
          <w:color w:val="17477A"/>
          <w:sz w:val="24"/>
        </w:rPr>
        <w:t>Risk reduction, detection, response, and recovery for ransomware.</w:t>
        <w:br/>
      </w:r>
      <w:r>
        <w:rPr>
          <w:rFonts w:ascii="Z003" w:hAnsi="Z003" w:eastAsia="Z003" w:cs="Z003"/>
          <w:b w:val="0"/>
          <w:i/>
          <w:color w:val="17477A"/>
          <w:sz w:val="24"/>
        </w:rPr>
        <w:t>https://www.cisa.gov/resources-tools/resources/stopransomware-guide</w:t>
      </w:r>
    </w:p>
    <w:p>
      <w:pPr>
        <w:spacing w:after="60"/>
      </w:pPr>
      <w:r>
        <w:rPr>
          <w:rFonts w:ascii="Z003" w:hAnsi="Z003" w:eastAsia="Z003" w:cs="Z003"/>
          <w:b/>
          <w:i/>
          <w:color w:val="17477A"/>
          <w:sz w:val="24"/>
        </w:rPr>
        <w:t xml:space="preserve">SP 800-61 Rev. 3: Incident Response Recommendations — NIST. </w:t>
      </w:r>
      <w:r>
        <w:rPr>
          <w:rFonts w:ascii="Z003" w:hAnsi="Z003" w:eastAsia="Z003" w:cs="Z003"/>
          <w:b w:val="0"/>
          <w:i/>
          <w:color w:val="17477A"/>
          <w:sz w:val="24"/>
        </w:rPr>
        <w:t>Risk management and incident response recommendations.</w:t>
        <w:br/>
      </w:r>
      <w:r>
        <w:rPr>
          <w:rFonts w:ascii="Z003" w:hAnsi="Z003" w:eastAsia="Z003" w:cs="Z003"/>
          <w:b w:val="0"/>
          <w:i/>
          <w:color w:val="17477A"/>
          <w:sz w:val="24"/>
        </w:rPr>
        <w:t>https://csrc.nist.gov/pubs/sp/800/61/r3/final</w:t>
      </w:r>
    </w:p>
    <w:tbl>
      <w:tblPr>
        <w:tblW w:type="auto" w:w="0"/>
        <w:jc w:val="center"/>
        <w:tblLayout w:type="autofit"/>
        <w:tblLook w:firstColumn="1" w:firstRow="1" w:lastColumn="0" w:lastRow="0" w:noHBand="0" w:noVBand="1" w:val="04A0"/>
      </w:tblPr>
      <w:tblGrid>
        <w:gridCol w:w="9576"/>
      </w:tblGrid>
      <w:tr>
        <w:tc>
          <w:tcPr>
            <w:tcW w:type="dxa" w:w="9576"/>
            <w:shd w:fill="E5F5EC"/>
            <w:tcBorders>
              <w:top w:val="nil"/>
              <w:left w:val="single" w:sz="18" w:color="237C6D"/>
              <w:bottom w:val="nil"/>
              <w:right w:val="nil"/>
            </w:tcBorders>
            <w:tcMar>
              <w:top w:w="115" w:type="dxa"/>
              <w:start w:w="170" w:type="dxa"/>
              <w:bottom w:w="115" w:type="dxa"/>
              <w:end w:w="150" w:type="dxa"/>
            </w:tcMar>
          </w:tcPr>
          <w:p>
            <w:pPr>
              <w:spacing w:after="26" w:line="240" w:lineRule="auto"/>
            </w:pPr>
            <w:r>
              <w:rPr>
                <w:rFonts w:ascii="Comic Neue" w:hAnsi="Comic Neue" w:eastAsia="Comic Neue" w:cs="Comic Neue"/>
                <w:b w:val="0"/>
                <w:i/>
                <w:color w:val="17477A"/>
                <w:sz w:val="18"/>
              </w:rPr>
              <w:t xml:space="preserve">KEEP LEARNING  </w:t>
            </w:r>
            <w:r>
              <w:rPr>
                <w:rFonts w:ascii="Comic Neue" w:hAnsi="Comic Neue" w:eastAsia="Comic Neue" w:cs="Comic Neue"/>
                <w:b w:val="0"/>
                <w:i/>
                <w:color w:val="17477A"/>
                <w:sz w:val="18"/>
              </w:rPr>
              <w:t>A good analyst does not copy a tool output and call it truth. They record what they observed, why it matters, what else could explain it, and what should happen next.</w:t>
            </w:r>
          </w:p>
        </w:tc>
      </w:tr>
    </w:tbl>
    <w:p>
      <w:pPr>
        <w:spacing w:after="20" w:line="144" w:lineRule="auto"/>
      </w:pPr>
    </w:p>
    <w:p>
      <w:pPr>
        <w:pageBreakBefore/>
        <w:spacing w:before="0" w:after="20" w:line="240" w:lineRule="auto"/>
        <w:jc w:val="right"/>
      </w:pPr>
      <w:r>
        <w:rPr>
          <w:rFonts w:ascii="Comic Neue" w:hAnsi="Comic Neue" w:eastAsia="Comic Neue"/>
          <w:b/>
          <w:i/>
          <w:color w:val="688097"/>
          <w:sz w:val="15"/>
        </w:rPr>
        <w:t>OPENCYBERPATH FIELD NOTEBOOK - MATCHED EXTERNAL PRACTICE</w:t>
      </w:r>
    </w:p>
    <w:p>
      <w:pPr>
        <w:keepNext/>
        <w:spacing w:before="100" w:after="80" w:line="240" w:lineRule="auto"/>
      </w:pPr>
      <w:r>
        <w:rPr>
          <w:rFonts w:ascii="Comic Neue" w:hAnsi="Comic Neue" w:eastAsia="Comic Neue"/>
          <w:b/>
          <w:i/>
          <w:color w:val="087F8C"/>
          <w:sz w:val="34"/>
        </w:rPr>
        <w:t>A real lab for these notes</w:t>
      </w:r>
    </w:p>
    <w:p>
      <w:pPr>
        <w:spacing w:before="0" w:after="80" w:line="240" w:lineRule="auto"/>
      </w:pPr>
      <w:r>
        <w:rPr>
          <w:rFonts w:ascii="Comic Neue" w:hAnsi="Comic Neue" w:eastAsia="Comic Neue"/>
          <w:b w:val="0"/>
          <w:i w:val="0"/>
          <w:color w:val="24344D"/>
          <w:sz w:val="20"/>
        </w:rPr>
        <w:t>Topic: Recognise web attack patterns in intentionally vulnerable training applications and connect them to mitigations. These pages connect the existing OpenCyberPath notes to specific provider-hosted exercises. The card label is intentionally generic; the exact task name and direct URL are listed here so you can open the right exercise instead of a whole catalogue.</w:t>
      </w:r>
    </w:p>
    <w:p>
      <w:pPr>
        <w:keepNext/>
        <w:spacing w:before="40" w:after="80" w:line="240" w:lineRule="auto"/>
      </w:pPr>
      <w:r>
        <w:rPr>
          <w:rFonts w:ascii="Comic Neue" w:hAnsi="Comic Neue" w:eastAsia="Comic Neue"/>
          <w:b/>
          <w:i/>
          <w:color w:val="B34778"/>
          <w:sz w:val="25"/>
        </w:rPr>
        <w:t>Concept checkpoints</w:t>
      </w:r>
    </w:p>
    <w:p>
      <w:pPr>
        <w:pStyle w:val="ListBullet"/>
        <w:spacing w:before="0" w:after="40" w:line="240" w:lineRule="auto"/>
      </w:pPr>
      <w:r>
        <w:rPr>
          <w:rFonts w:ascii="Comic Neue" w:hAnsi="Comic Neue" w:eastAsia="Comic Neue"/>
          <w:b w:val="0"/>
          <w:i w:val="0"/>
          <w:color w:val="283A50"/>
          <w:sz w:val="19"/>
        </w:rPr>
        <w:t>SQL injection occurs when untrusted input is interpreted as part of a query. Defend with parameterized queries.</w:t>
      </w:r>
    </w:p>
    <w:p>
      <w:pPr>
        <w:pStyle w:val="ListBullet"/>
        <w:spacing w:before="0" w:after="40" w:line="240" w:lineRule="auto"/>
      </w:pPr>
      <w:r>
        <w:rPr>
          <w:rFonts w:ascii="Comic Neue" w:hAnsi="Comic Neue" w:eastAsia="Comic Neue"/>
          <w:b w:val="0"/>
          <w:i w:val="0"/>
          <w:color w:val="283A50"/>
          <w:sz w:val="19"/>
        </w:rPr>
        <w:t>XSS occurs when untrusted content is interpreted as active page code. Defend with context-aware output encoding and safe templating.</w:t>
      </w:r>
    </w:p>
    <w:p>
      <w:pPr>
        <w:pStyle w:val="ListBullet"/>
        <w:spacing w:before="0" w:after="40" w:line="240" w:lineRule="auto"/>
      </w:pPr>
      <w:r>
        <w:rPr>
          <w:rFonts w:ascii="Comic Neue" w:hAnsi="Comic Neue" w:eastAsia="Comic Neue"/>
          <w:b w:val="0"/>
          <w:i w:val="0"/>
          <w:color w:val="283A50"/>
          <w:sz w:val="19"/>
        </w:rPr>
        <w:t>Access-control flaws let a user perform an action the application should deny. Enforce authorisation on the server.</w:t>
      </w:r>
    </w:p>
    <w:p>
      <w:pPr>
        <w:pStyle w:val="ListBullet"/>
        <w:spacing w:before="0" w:after="40" w:line="240" w:lineRule="auto"/>
      </w:pPr>
      <w:r>
        <w:rPr>
          <w:rFonts w:ascii="Comic Neue" w:hAnsi="Comic Neue" w:eastAsia="Comic Neue"/>
          <w:b w:val="0"/>
          <w:i w:val="0"/>
          <w:color w:val="283A50"/>
          <w:sz w:val="19"/>
        </w:rPr>
        <w:t>A lab exploit proves only the behaviour of that specific intentionally vulnerable instance.</w:t>
      </w:r>
    </w:p>
    <w:p>
      <w:pPr>
        <w:keepNext/>
        <w:spacing w:before="0" w:after="0" w:line="240" w:lineRule="auto"/>
      </w:pPr>
      <w:r>
        <w:rPr>
          <w:rFonts w:ascii="Comic Neue" w:hAnsi="Comic Neue" w:eastAsia="Comic Neue"/>
          <w:b/>
          <w:i w:val="0"/>
          <w:color w:val="213A58"/>
          <w:sz w:val="20"/>
        </w:rPr>
        <w:t xml:space="preserve">Lab: SQL injection - retrieve hidden data  </w:t>
      </w:r>
      <w:r>
        <w:rPr>
          <w:rFonts w:ascii="Comic Neue" w:hAnsi="Comic Neue" w:eastAsia="Comic Neue"/>
          <w:b w:val="0"/>
          <w:i/>
          <w:color w:val="007B89"/>
          <w:sz w:val="17"/>
        </w:rPr>
        <w:t>[PortSwigger Web Security Academy]</w:t>
      </w:r>
    </w:p>
    <w:p>
      <w:pPr>
        <w:spacing w:before="0" w:after="20" w:line="240" w:lineRule="auto"/>
      </w:pPr>
      <w:hyperlink r:id="rId17">
        <w:r>
          <w:rPr>
            <w:color w:val="1465A8"/>
            <w:u w:val="single"/>
            <w:rFonts w:ascii="DejaVu Sans Mono" w:hAnsi="DejaVu Sans Mono" w:eastAsia="DejaVu Sans Mono"/>
            <w:sz w:val="15"/>
          </w:rPr>
          <w:t>https://portswigger.net/web-security/sql-injection/lab-retrieve-hidden-data</w:t>
        </w:r>
      </w:hyperlink>
    </w:p>
    <w:p>
      <w:pPr>
        <w:spacing w:before="0" w:after="60" w:line="240" w:lineRule="auto"/>
      </w:pPr>
      <w:r>
        <w:rPr>
          <w:rFonts w:ascii="Comic Neue" w:hAnsi="Comic Neue" w:eastAsia="Comic Neue"/>
          <w:b w:val="0"/>
          <w:i/>
          <w:color w:val="5E6D7E"/>
          <w:sz w:val="17"/>
        </w:rPr>
        <w:t>Access note: Launch the intentionally vulnerable lab from the page. The exercise is contained in a provider-generated instance.</w:t>
      </w:r>
    </w:p>
    <w:p>
      <w:pPr>
        <w:keepNext/>
        <w:spacing w:before="0" w:after="0" w:line="240" w:lineRule="auto"/>
      </w:pPr>
      <w:r>
        <w:rPr>
          <w:rFonts w:ascii="Comic Neue" w:hAnsi="Comic Neue" w:eastAsia="Comic Neue"/>
          <w:b/>
          <w:i w:val="0"/>
          <w:color w:val="213A58"/>
          <w:sz w:val="20"/>
        </w:rPr>
        <w:t xml:space="preserve">Lab: Reflected XSS into HTML context with nothing encoded  </w:t>
      </w:r>
      <w:r>
        <w:rPr>
          <w:rFonts w:ascii="Comic Neue" w:hAnsi="Comic Neue" w:eastAsia="Comic Neue"/>
          <w:b w:val="0"/>
          <w:i/>
          <w:color w:val="007B89"/>
          <w:sz w:val="17"/>
        </w:rPr>
        <w:t>[PortSwigger Web Security Academy]</w:t>
      </w:r>
    </w:p>
    <w:p>
      <w:pPr>
        <w:spacing w:before="0" w:after="20" w:line="240" w:lineRule="auto"/>
      </w:pPr>
      <w:hyperlink r:id="rId18">
        <w:r>
          <w:rPr>
            <w:color w:val="1465A8"/>
            <w:u w:val="single"/>
            <w:rFonts w:ascii="DejaVu Sans Mono" w:hAnsi="DejaVu Sans Mono" w:eastAsia="DejaVu Sans Mono"/>
            <w:sz w:val="15"/>
          </w:rPr>
          <w:t>https://portswigger.net/web-security/cross-site-scripting/reflected/lab-html-context-nothing-encoded</w:t>
        </w:r>
      </w:hyperlink>
    </w:p>
    <w:p>
      <w:pPr>
        <w:spacing w:before="0" w:after="60" w:line="240" w:lineRule="auto"/>
      </w:pPr>
      <w:r>
        <w:rPr>
          <w:rFonts w:ascii="Comic Neue" w:hAnsi="Comic Neue" w:eastAsia="Comic Neue"/>
          <w:b w:val="0"/>
          <w:i/>
          <w:color w:val="5E6D7E"/>
          <w:sz w:val="17"/>
        </w:rPr>
        <w:t>Access note: Launch the specific training instance from the page. Use the sample only inside that instance.</w:t>
      </w:r>
    </w:p>
    <w:p>
      <w:pPr>
        <w:keepNext/>
        <w:spacing w:before="0" w:after="0" w:line="240" w:lineRule="auto"/>
      </w:pPr>
      <w:r>
        <w:rPr>
          <w:rFonts w:ascii="Comic Neue" w:hAnsi="Comic Neue" w:eastAsia="Comic Neue"/>
          <w:b/>
          <w:i w:val="0"/>
          <w:color w:val="213A58"/>
          <w:sz w:val="20"/>
        </w:rPr>
        <w:t xml:space="preserve">Local deliberately vulnerable training app  </w:t>
      </w:r>
      <w:r>
        <w:rPr>
          <w:rFonts w:ascii="Comic Neue" w:hAnsi="Comic Neue" w:eastAsia="Comic Neue"/>
          <w:b w:val="0"/>
          <w:i/>
          <w:color w:val="007B89"/>
          <w:sz w:val="17"/>
        </w:rPr>
        <w:t>[OWASP Juice Shop]</w:t>
      </w:r>
    </w:p>
    <w:p>
      <w:pPr>
        <w:spacing w:before="0" w:after="20" w:line="240" w:lineRule="auto"/>
      </w:pPr>
      <w:hyperlink r:id="rId19">
        <w:r>
          <w:rPr>
            <w:color w:val="1465A8"/>
            <w:u w:val="single"/>
            <w:rFonts w:ascii="DejaVu Sans Mono" w:hAnsi="DejaVu Sans Mono" w:eastAsia="DejaVu Sans Mono"/>
            <w:sz w:val="15"/>
          </w:rPr>
          <w:t>https://github.com/juice-shop/juice-shop</w:t>
        </w:r>
      </w:hyperlink>
    </w:p>
    <w:p>
      <w:pPr>
        <w:spacing w:before="0" w:after="60" w:line="240" w:lineRule="auto"/>
      </w:pPr>
      <w:r>
        <w:rPr>
          <w:rFonts w:ascii="Comic Neue" w:hAnsi="Comic Neue" w:eastAsia="Comic Neue"/>
          <w:b w:val="0"/>
          <w:i/>
          <w:color w:val="5E6D7E"/>
          <w:sz w:val="17"/>
        </w:rPr>
        <w:t>Access note: Open-source training app that must be run locally in an isolated environment. Do not expose it to the public internet.</w:t>
      </w:r>
    </w:p>
    <w:tbl>
      <w:tblPr>
        <w:tblW w:type="auto" w:w="0"/>
        <w:jc w:val="center"/>
        <w:tblLayout w:type="autofit"/>
        <w:tblLook w:firstColumn="1" w:firstRow="1" w:lastColumn="0" w:lastRow="0" w:noHBand="0" w:noVBand="1" w:val="04A0"/>
      </w:tblPr>
      <w:tblGrid>
        <w:gridCol w:w="9576"/>
      </w:tblGrid>
      <w:tr>
        <w:tc>
          <w:tcPr>
            <w:tcW w:type="dxa" w:w="9576"/>
            <w:shd w:fill="DDF4F2"/>
            <w:tcMar>
              <w:top w:w="90" w:type="dxa"/>
              <w:start w:w="150" w:type="dxa"/>
              <w:bottom w:w="90" w:type="dxa"/>
              <w:end w:w="150" w:type="dxa"/>
            </w:tcMar>
          </w:tcPr>
          <w:p>
            <w:pPr>
              <w:spacing w:before="0" w:after="0" w:line="240" w:lineRule="auto"/>
            </w:pPr>
            <w:r>
              <w:rPr>
                <w:rFonts w:ascii="Comic Neue" w:hAnsi="Comic Neue" w:eastAsia="Comic Neue"/>
                <w:b/>
                <w:i/>
                <w:color w:val="087F8C"/>
                <w:sz w:val="18"/>
              </w:rPr>
              <w:t xml:space="preserve">ACCESS CHECK  </w:t>
            </w:r>
            <w:r>
              <w:rPr>
                <w:rFonts w:ascii="Comic Neue" w:hAnsi="Comic Neue" w:eastAsia="Comic Neue"/>
                <w:b w:val="0"/>
                <w:i w:val="0"/>
                <w:color w:val="2F3E50"/>
                <w:sz w:val="18"/>
              </w:rPr>
              <w:t>Open the exact task page and verify the current login, account tier, VM launch button, free/paid terms, and any cost notes before starting. A provider may change availability or retire a challenge.</w:t>
            </w:r>
          </w:p>
        </w:tc>
      </w:tr>
    </w:tbl>
    <w:p>
      <w:pPr>
        <w:spacing w:after="0"/>
      </w:pPr>
    </w:p>
    <w:p>
      <w:pPr>
        <w:keepNext/>
        <w:spacing w:before="40" w:after="80" w:line="240" w:lineRule="auto"/>
      </w:pPr>
      <w:r>
        <w:rPr>
          <w:rFonts w:ascii="Comic Neue" w:hAnsi="Comic Neue" w:eastAsia="Comic Neue"/>
          <w:b/>
          <w:i/>
          <w:color w:val="B34778"/>
          <w:sz w:val="25"/>
        </w:rPr>
        <w:t>Before you click Start</w:t>
      </w:r>
    </w:p>
    <w:p>
      <w:pPr>
        <w:pStyle w:val="ListBullet"/>
        <w:spacing w:before="0" w:after="40" w:line="240" w:lineRule="auto"/>
      </w:pPr>
      <w:r>
        <w:rPr>
          <w:rFonts w:ascii="Comic Neue" w:hAnsi="Comic Neue" w:eastAsia="Comic Neue"/>
          <w:b w:val="0"/>
          <w:i w:val="0"/>
          <w:color w:val="283A50"/>
          <w:sz w:val="19"/>
        </w:rPr>
        <w:t>Write down the provider’s target/scope and use only the instance it creates for you.</w:t>
      </w:r>
    </w:p>
    <w:p>
      <w:pPr>
        <w:pStyle w:val="ListBullet"/>
        <w:spacing w:before="0" w:after="40" w:line="240" w:lineRule="auto"/>
      </w:pPr>
      <w:r>
        <w:rPr>
          <w:rFonts w:ascii="Comic Neue" w:hAnsi="Comic Neue" w:eastAsia="Comic Neue"/>
          <w:b w:val="0"/>
          <w:i w:val="0"/>
          <w:color w:val="283A50"/>
          <w:sz w:val="19"/>
        </w:rPr>
        <w:t>Keep this notebook beside the exercise. Use its original course data before trying commands on a local machine.</w:t>
      </w:r>
    </w:p>
    <w:p>
      <w:pPr>
        <w:pStyle w:val="ListBullet"/>
        <w:spacing w:before="0" w:after="40" w:line="240" w:lineRule="auto"/>
      </w:pPr>
      <w:r>
        <w:rPr>
          <w:rFonts w:ascii="Comic Neue" w:hAnsi="Comic Neue" w:eastAsia="Comic Neue"/>
          <w:b w:val="0"/>
          <w:i w:val="0"/>
          <w:color w:val="283A50"/>
          <w:sz w:val="19"/>
        </w:rPr>
        <w:t>Capture timestamps, filenames, row/packet IDs, and a short explanation; redact credentials, tokens, and personal data.</w:t>
      </w:r>
    </w:p>
    <w:p>
      <w:pPr>
        <w:pStyle w:val="ListBullet"/>
        <w:spacing w:before="0" w:after="40" w:line="240" w:lineRule="auto"/>
      </w:pPr>
      <w:r>
        <w:rPr>
          <w:rFonts w:ascii="Comic Neue" w:hAnsi="Comic Neue" w:eastAsia="Comic Neue"/>
          <w:b w:val="0"/>
          <w:i w:val="0"/>
          <w:color w:val="283A50"/>
          <w:sz w:val="19"/>
        </w:rPr>
        <w:t>If a page says retired, premium, or downloadable-only, use the alternative listed in the access note or return to the matching interactive lab above.</w:t>
      </w:r>
    </w:p>
    <w:p>
      <w:pPr>
        <w:pageBreakBefore/>
        <w:spacing w:before="0" w:after="20" w:line="240" w:lineRule="auto"/>
        <w:jc w:val="right"/>
      </w:pPr>
      <w:r>
        <w:rPr>
          <w:rFonts w:ascii="Comic Neue" w:hAnsi="Comic Neue" w:eastAsia="Comic Neue"/>
          <w:b/>
          <w:i/>
          <w:color w:val="688097"/>
          <w:sz w:val="15"/>
        </w:rPr>
        <w:t>COMMAND NOTEBOOK - COPY ONE LINE AT A TIME</w:t>
      </w:r>
    </w:p>
    <w:p>
      <w:pPr>
        <w:keepNext/>
        <w:spacing w:before="100" w:after="80" w:line="240" w:lineRule="auto"/>
      </w:pPr>
      <w:r>
        <w:rPr>
          <w:rFonts w:ascii="Comic Neue" w:hAnsi="Comic Neue" w:eastAsia="Comic Neue"/>
          <w:b/>
          <w:i/>
          <w:color w:val="087F8C"/>
          <w:sz w:val="34"/>
        </w:rPr>
        <w:t>Commands you can explain</w:t>
      </w:r>
    </w:p>
    <w:p>
      <w:pPr>
        <w:spacing w:before="0" w:after="80" w:line="240" w:lineRule="auto"/>
      </w:pPr>
      <w:r>
        <w:rPr>
          <w:rFonts w:ascii="Comic Neue" w:hAnsi="Comic Neue" w:eastAsia="Comic Neue"/>
          <w:b/>
          <w:i w:val="0"/>
          <w:color w:val="8B4E24"/>
          <w:sz w:val="19"/>
        </w:rPr>
        <w:t>The intentionally vulnerable Juice Shop must stay bound to 127.0.0.1. Web test input belongs only in the specific academy-generated lab instance.</w:t>
      </w:r>
    </w:p>
    <w:p>
      <w:pPr>
        <w:spacing w:before="0" w:after="100" w:line="240" w:lineRule="auto"/>
      </w:pPr>
      <w:r>
        <w:rPr>
          <w:rFonts w:ascii="Comic Neue" w:hAnsi="Comic Neue" w:eastAsia="Comic Neue"/>
          <w:b w:val="0"/>
          <w:i/>
          <w:color w:val="5A6C7E"/>
          <w:sz w:val="18"/>
        </w:rPr>
        <w:t>First download the matching sample file(s) from the existing card when a command names one. Keep the data in a practice folder and never execute strings stored in evidence.</w:t>
      </w:r>
    </w:p>
    <w:p>
      <w:pPr>
        <w:keepNext/>
        <w:spacing w:before="60" w:after="0" w:line="240" w:lineRule="auto"/>
      </w:pPr>
      <w:r>
        <w:rPr>
          <w:rFonts w:ascii="Comic Neue" w:hAnsi="Comic Neue" w:eastAsia="Comic Neue"/>
          <w:b/>
          <w:i w:val="0"/>
          <w:color w:val="007B89"/>
          <w:sz w:val="16"/>
        </w:rPr>
        <w:t xml:space="preserve">LAUNCH LOCAL-ONLY JUICE SHOP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docker run --rm -p 127.0.0.1:3000:3000 bkimminich/juice-shop</w:t>
            </w:r>
          </w:p>
        </w:tc>
      </w:tr>
    </w:tbl>
    <w:p>
      <w:pPr>
        <w:spacing w:before="0" w:after="60" w:line="240" w:lineRule="auto"/>
      </w:pPr>
      <w:r>
        <w:rPr>
          <w:rFonts w:ascii="Comic Neue" w:hAnsi="Comic Neue" w:eastAsia="Comic Neue"/>
          <w:b w:val="0"/>
          <w:i/>
          <w:color w:val="5D6E80"/>
          <w:sz w:val="17"/>
        </w:rPr>
        <w:t>Starts the intentionally vulnerable app on loopback only. Requires Docker and a downloaded image; stop it with Ctrl+C.</w:t>
      </w:r>
    </w:p>
    <w:p>
      <w:pPr>
        <w:keepNext/>
        <w:spacing w:before="60" w:after="0" w:line="240" w:lineRule="auto"/>
      </w:pPr>
      <w:r>
        <w:rPr>
          <w:rFonts w:ascii="Comic Neue" w:hAnsi="Comic Neue" w:eastAsia="Comic Neue"/>
          <w:b/>
          <w:i w:val="0"/>
          <w:color w:val="007B89"/>
          <w:sz w:val="16"/>
        </w:rPr>
        <w:t xml:space="preserve">VERIFY LOCAL-ONLY APP RESPONDS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curl -I http://127.0.0.1:3000/</w:t>
            </w:r>
          </w:p>
        </w:tc>
      </w:tr>
    </w:tbl>
    <w:p>
      <w:pPr>
        <w:spacing w:before="0" w:after="60" w:line="240" w:lineRule="auto"/>
      </w:pPr>
      <w:r>
        <w:rPr>
          <w:rFonts w:ascii="Comic Neue" w:hAnsi="Comic Neue" w:eastAsia="Comic Neue"/>
          <w:b w:val="0"/>
          <w:i/>
          <w:color w:val="5D6E80"/>
          <w:sz w:val="17"/>
        </w:rPr>
        <w:t>Makes a request to the local app you just launched, not a remote site.</w:t>
      </w:r>
    </w:p>
    <w:p>
      <w:pPr>
        <w:keepNext/>
        <w:spacing w:before="60" w:after="0" w:line="240" w:lineRule="auto"/>
      </w:pPr>
      <w:r>
        <w:rPr>
          <w:rFonts w:ascii="Comic Neue" w:hAnsi="Comic Neue" w:eastAsia="Comic Neue"/>
          <w:b/>
          <w:i w:val="0"/>
          <w:color w:val="007B89"/>
          <w:sz w:val="16"/>
        </w:rPr>
        <w:t xml:space="preserve">INSPECT THE GENERATED ACADEMY LAB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curl -i "https://YOUR-LAB-ID.web-security-academy.net/"</w:t>
            </w:r>
          </w:p>
        </w:tc>
      </w:tr>
    </w:tbl>
    <w:p>
      <w:pPr>
        <w:spacing w:before="0" w:after="60" w:line="240" w:lineRule="auto"/>
      </w:pPr>
      <w:r>
        <w:rPr>
          <w:rFonts w:ascii="Comic Neue" w:hAnsi="Comic Neue" w:eastAsia="Comic Neue"/>
          <w:b w:val="0"/>
          <w:i/>
          <w:color w:val="5D6E80"/>
          <w:sz w:val="17"/>
        </w:rPr>
        <w:t>Replace placeholder only with the generated PortSwigger lab hostname. Use the assigned lab’s own instructions for the exercise.</w:t>
      </w:r>
    </w:p>
    <w:p>
      <w:pPr>
        <w:keepNext/>
        <w:spacing w:before="60" w:after="0" w:line="240" w:lineRule="auto"/>
      </w:pPr>
      <w:r>
        <w:rPr>
          <w:rFonts w:ascii="Comic Neue" w:hAnsi="Comic Neue" w:eastAsia="Comic Neue"/>
          <w:b/>
          <w:i w:val="0"/>
          <w:color w:val="007B89"/>
          <w:sz w:val="16"/>
        </w:rPr>
        <w:t xml:space="preserve">SAFE XSS PROOF INSIDE DESIGNATED LAB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Enter the academy page’s provided beginner example in the lab search field, then observe whether it is encoded or interpreted.</w:t>
            </w:r>
          </w:p>
        </w:tc>
      </w:tr>
    </w:tbl>
    <w:p>
      <w:pPr>
        <w:spacing w:before="0" w:after="60" w:line="240" w:lineRule="auto"/>
      </w:pPr>
      <w:r>
        <w:rPr>
          <w:rFonts w:ascii="Comic Neue" w:hAnsi="Comic Neue" w:eastAsia="Comic Neue"/>
          <w:b w:val="0"/>
          <w:i/>
          <w:color w:val="5D6E80"/>
          <w:sz w:val="17"/>
        </w:rPr>
        <w:t>Use the exact training page linked above and follow its exercise steps. Do not copy test strings to real websites.</w:t>
      </w:r>
    </w:p>
    <w:p>
      <w:pPr>
        <w:keepNext/>
        <w:spacing w:before="60" w:after="0" w:line="240" w:lineRule="auto"/>
      </w:pPr>
      <w:r>
        <w:rPr>
          <w:rFonts w:ascii="Comic Neue" w:hAnsi="Comic Neue" w:eastAsia="Comic Neue"/>
          <w:b/>
          <w:i w:val="0"/>
          <w:color w:val="007B89"/>
          <w:sz w:val="16"/>
        </w:rPr>
        <w:t xml:space="preserve">SOURCE REPOSITORY CLONE  </w:t>
      </w:r>
    </w:p>
    <w:tbl>
      <w:tblPr>
        <w:tblW w:type="auto" w:w="0"/>
        <w:jc w:val="center"/>
        <w:tblLook w:firstColumn="1" w:firstRow="1" w:lastColumn="0" w:lastRow="0" w:noHBand="0" w:noVBand="1" w:val="04A0"/>
      </w:tblPr>
      <w:tblGrid>
        <w:gridCol w:w="9576"/>
      </w:tblGrid>
      <w:tr>
        <w:tc>
          <w:tcPr>
            <w:tcW w:type="dxa" w:w="9576"/>
            <w:shd w:fill="EEF5FA"/>
            <w:tcMar>
              <w:top w:w="55" w:type="dxa"/>
              <w:start w:w="110" w:type="dxa"/>
              <w:bottom w:w="55" w:type="dxa"/>
              <w:end w:w="110" w:type="dxa"/>
            </w:tcMar>
          </w:tcPr>
          <w:p>
            <w:pPr>
              <w:spacing w:before="0" w:after="0" w:line="240" w:lineRule="auto"/>
            </w:pPr>
            <w:r>
              <w:rPr>
                <w:rFonts w:ascii="DejaVu Sans Mono" w:hAnsi="DejaVu Sans Mono" w:eastAsia="DejaVu Sans Mono"/>
                <w:b w:val="0"/>
                <w:i w:val="0"/>
                <w:color w:val="172E45"/>
                <w:sz w:val="16"/>
              </w:rPr>
              <w:t>git clone --depth 1 https://github.com/juice-shop/juice-shop.git</w:t>
            </w:r>
          </w:p>
        </w:tc>
      </w:tr>
    </w:tbl>
    <w:p>
      <w:pPr>
        <w:spacing w:before="0" w:after="60" w:line="240" w:lineRule="auto"/>
      </w:pPr>
      <w:r>
        <w:rPr>
          <w:rFonts w:ascii="Comic Neue" w:hAnsi="Comic Neue" w:eastAsia="Comic Neue"/>
          <w:b w:val="0"/>
          <w:i/>
          <w:color w:val="5D6E80"/>
          <w:sz w:val="17"/>
        </w:rPr>
        <w:t>Alternative to the container image; it retrieves source code locally and does not attack another system.</w:t>
      </w:r>
    </w:p>
    <w:tbl>
      <w:tblPr>
        <w:tblW w:type="auto" w:w="0"/>
        <w:jc w:val="center"/>
        <w:tblLayout w:type="autofit"/>
        <w:tblLook w:firstColumn="1" w:firstRow="1" w:lastColumn="0" w:lastRow="0" w:noHBand="0" w:noVBand="1" w:val="04A0"/>
      </w:tblPr>
      <w:tblGrid>
        <w:gridCol w:w="9576"/>
      </w:tblGrid>
      <w:tr>
        <w:tc>
          <w:tcPr>
            <w:tcW w:type="dxa" w:w="9576"/>
            <w:shd w:fill="E4F0FF"/>
            <w:tcMar>
              <w:top w:w="90" w:type="dxa"/>
              <w:start w:w="150" w:type="dxa"/>
              <w:bottom w:w="90" w:type="dxa"/>
              <w:end w:w="150" w:type="dxa"/>
            </w:tcMar>
          </w:tcPr>
          <w:p>
            <w:pPr>
              <w:spacing w:before="0" w:after="0" w:line="240" w:lineRule="auto"/>
            </w:pPr>
            <w:r>
              <w:rPr>
                <w:rFonts w:ascii="Comic Neue" w:hAnsi="Comic Neue" w:eastAsia="Comic Neue"/>
                <w:b/>
                <w:i/>
                <w:color w:val="275D9B"/>
                <w:sz w:val="18"/>
              </w:rPr>
              <w:t xml:space="preserve">COMMAND HABIT  </w:t>
            </w:r>
            <w:r>
              <w:rPr>
                <w:rFonts w:ascii="Comic Neue" w:hAnsi="Comic Neue" w:eastAsia="Comic Neue"/>
                <w:b w:val="0"/>
                <w:i w:val="0"/>
                <w:color w:val="2F3E50"/>
                <w:sz w:val="18"/>
              </w:rPr>
              <w:t>Check the current working directory, shell, target, and expected effect before pressing Enter. Save the exact command and the output that mattered.</w:t>
            </w:r>
          </w:p>
        </w:tc>
      </w:tr>
    </w:tbl>
    <w:p>
      <w:pPr>
        <w:spacing w:after="0"/>
      </w:pPr>
    </w:p>
    <w:p>
      <w:pPr>
        <w:pageBreakBefore/>
        <w:spacing w:before="0" w:after="20" w:line="240" w:lineRule="auto"/>
        <w:jc w:val="right"/>
      </w:pPr>
      <w:r>
        <w:rPr>
          <w:rFonts w:ascii="Comic Neue" w:hAnsi="Comic Neue" w:eastAsia="Comic Neue"/>
          <w:b/>
          <w:i/>
          <w:color w:val="688097"/>
          <w:sz w:val="15"/>
        </w:rPr>
        <w:t>RUN THE EXERCISE - RECORD WHAT THE EVIDENCE REALLY SHOWS</w:t>
      </w:r>
    </w:p>
    <w:p>
      <w:pPr>
        <w:keepNext/>
        <w:spacing w:before="100" w:after="80" w:line="240" w:lineRule="auto"/>
      </w:pPr>
      <w:r>
        <w:rPr>
          <w:rFonts w:ascii="Comic Neue" w:hAnsi="Comic Neue" w:eastAsia="Comic Neue"/>
          <w:b/>
          <w:i/>
          <w:color w:val="087F8C"/>
          <w:sz w:val="34"/>
        </w:rPr>
        <w:t>Guided lab run</w:t>
      </w:r>
    </w:p>
    <w:p>
      <w:pPr>
        <w:pStyle w:val="ListBullet"/>
        <w:spacing w:before="0" w:after="40" w:line="240" w:lineRule="auto"/>
      </w:pPr>
      <w:r>
        <w:rPr>
          <w:rFonts w:ascii="Comic Neue" w:hAnsi="Comic Neue" w:eastAsia="Comic Neue"/>
          <w:b w:val="0"/>
          <w:i w:val="0"/>
          <w:color w:val="283A50"/>
          <w:sz w:val="19"/>
        </w:rPr>
        <w:t>1. Choose one exact lab page; wait until the provider generates the isolated instance.</w:t>
      </w:r>
    </w:p>
    <w:p>
      <w:pPr>
        <w:pStyle w:val="ListBullet"/>
        <w:spacing w:before="0" w:after="40" w:line="240" w:lineRule="auto"/>
      </w:pPr>
      <w:r>
        <w:rPr>
          <w:rFonts w:ascii="Comic Neue" w:hAnsi="Comic Neue" w:eastAsia="Comic Neue"/>
          <w:b w:val="0"/>
          <w:i w:val="0"/>
          <w:color w:val="283A50"/>
          <w:sz w:val="19"/>
        </w:rPr>
        <w:t>2. Read the objective and permitted actions before submitting any test input.</w:t>
      </w:r>
    </w:p>
    <w:p>
      <w:pPr>
        <w:pStyle w:val="ListBullet"/>
        <w:spacing w:before="0" w:after="40" w:line="240" w:lineRule="auto"/>
      </w:pPr>
      <w:r>
        <w:rPr>
          <w:rFonts w:ascii="Comic Neue" w:hAnsi="Comic Neue" w:eastAsia="Comic Neue"/>
          <w:b w:val="0"/>
          <w:i w:val="0"/>
          <w:color w:val="283A50"/>
          <w:sz w:val="19"/>
        </w:rPr>
        <w:t>3. Reproduce the smallest input that demonstrates the assigned flaw in that instance only.</w:t>
      </w:r>
    </w:p>
    <w:p>
      <w:pPr>
        <w:pStyle w:val="ListBullet"/>
        <w:spacing w:before="0" w:after="40" w:line="240" w:lineRule="auto"/>
      </w:pPr>
      <w:r>
        <w:rPr>
          <w:rFonts w:ascii="Comic Neue" w:hAnsi="Comic Neue" w:eastAsia="Comic Neue"/>
          <w:b w:val="0"/>
          <w:i w:val="0"/>
          <w:color w:val="283A50"/>
          <w:sz w:val="19"/>
        </w:rPr>
        <w:t>4. Record actual/expected behaviour, a minimal redacted request, and a defensive remediation.</w:t>
      </w:r>
    </w:p>
    <w:p>
      <w:pPr>
        <w:pStyle w:val="ListBullet"/>
        <w:spacing w:before="0" w:after="40" w:line="240" w:lineRule="auto"/>
      </w:pPr>
      <w:r>
        <w:rPr>
          <w:rFonts w:ascii="Comic Neue" w:hAnsi="Comic Neue" w:eastAsia="Comic Neue"/>
          <w:b w:val="0"/>
          <w:i w:val="0"/>
          <w:color w:val="283A50"/>
          <w:sz w:val="19"/>
        </w:rPr>
        <w:t>5. Stop the instance when done; do not reuse the payload on unrelated services.</w:t>
      </w:r>
    </w:p>
    <w:p>
      <w:pPr>
        <w:keepNext/>
        <w:spacing w:before="40" w:after="80" w:line="240" w:lineRule="auto"/>
      </w:pPr>
      <w:r>
        <w:rPr>
          <w:rFonts w:ascii="Comic Neue" w:hAnsi="Comic Neue" w:eastAsia="Comic Neue"/>
          <w:b/>
          <w:i/>
          <w:color w:val="B34778"/>
          <w:sz w:val="25"/>
        </w:rPr>
        <w:t>Evidence checklist</w:t>
      </w:r>
    </w:p>
    <w:p>
      <w:pPr>
        <w:pStyle w:val="ListBullet"/>
        <w:spacing w:before="0" w:after="40" w:line="240" w:lineRule="auto"/>
      </w:pPr>
      <w:r>
        <w:rPr>
          <w:rFonts w:ascii="Comic Neue" w:hAnsi="Comic Neue" w:eastAsia="Comic Neue"/>
          <w:b w:val="0"/>
          <w:i w:val="0"/>
          <w:color w:val="283A50"/>
          <w:sz w:val="19"/>
        </w:rPr>
        <w:t>[ ] What exact lab instance or sample file was used?</w:t>
      </w:r>
    </w:p>
    <w:p>
      <w:pPr>
        <w:pStyle w:val="ListBullet"/>
        <w:spacing w:before="0" w:after="40" w:line="240" w:lineRule="auto"/>
      </w:pPr>
      <w:r>
        <w:rPr>
          <w:rFonts w:ascii="Comic Neue" w:hAnsi="Comic Neue" w:eastAsia="Comic Neue"/>
          <w:b w:val="0"/>
          <w:i w:val="0"/>
          <w:color w:val="283A50"/>
          <w:sz w:val="19"/>
        </w:rPr>
        <w:t>[ ] Which command/query and time range produced the observation?</w:t>
      </w:r>
    </w:p>
    <w:p>
      <w:pPr>
        <w:pStyle w:val="ListBullet"/>
        <w:spacing w:before="0" w:after="40" w:line="240" w:lineRule="auto"/>
      </w:pPr>
      <w:r>
        <w:rPr>
          <w:rFonts w:ascii="Comic Neue" w:hAnsi="Comic Neue" w:eastAsia="Comic Neue"/>
          <w:b w:val="0"/>
          <w:i w:val="0"/>
          <w:color w:val="283A50"/>
          <w:sz w:val="19"/>
        </w:rPr>
        <w:t>[ ] What is the directly observed fact, separate from your inference?</w:t>
      </w:r>
    </w:p>
    <w:p>
      <w:pPr>
        <w:pStyle w:val="ListBullet"/>
        <w:spacing w:before="0" w:after="40" w:line="240" w:lineRule="auto"/>
      </w:pPr>
      <w:r>
        <w:rPr>
          <w:rFonts w:ascii="Comic Neue" w:hAnsi="Comic Neue" w:eastAsia="Comic Neue"/>
          <w:b w:val="0"/>
          <w:i w:val="0"/>
          <w:color w:val="283A50"/>
          <w:sz w:val="19"/>
        </w:rPr>
        <w:t>[ ] What benign/alternative explanation could fit?</w:t>
      </w:r>
    </w:p>
    <w:p>
      <w:pPr>
        <w:pStyle w:val="ListBullet"/>
        <w:spacing w:before="0" w:after="40" w:line="240" w:lineRule="auto"/>
      </w:pPr>
      <w:r>
        <w:rPr>
          <w:rFonts w:ascii="Comic Neue" w:hAnsi="Comic Neue" w:eastAsia="Comic Neue"/>
          <w:b w:val="0"/>
          <w:i w:val="0"/>
          <w:color w:val="283A50"/>
          <w:sz w:val="19"/>
        </w:rPr>
        <w:t>[ ] What extra record or control would help confirm the conclusion?</w:t>
      </w:r>
    </w:p>
    <w:p>
      <w:pPr>
        <w:keepNext/>
        <w:spacing w:before="40" w:after="80" w:line="240" w:lineRule="auto"/>
      </w:pPr>
      <w:r>
        <w:rPr>
          <w:rFonts w:ascii="Comic Neue" w:hAnsi="Comic Neue" w:eastAsia="Comic Neue"/>
          <w:b/>
          <w:i/>
          <w:color w:val="B34778"/>
          <w:sz w:val="25"/>
        </w:rPr>
        <w:t>Check your understanding</w:t>
      </w:r>
    </w:p>
    <w:p>
      <w:pPr>
        <w:keepNext/>
        <w:spacing w:before="40" w:after="20" w:line="240" w:lineRule="auto"/>
      </w:pPr>
      <w:r>
        <w:rPr>
          <w:rFonts w:ascii="Comic Neue" w:hAnsi="Comic Neue" w:eastAsia="Comic Neue"/>
          <w:b/>
          <w:i/>
          <w:color w:val="B34778"/>
          <w:sz w:val="19"/>
        </w:rPr>
        <w:t>Q  Why can the same test string behave differently on a real site?</w:t>
      </w:r>
    </w:p>
    <w:p>
      <w:pPr>
        <w:spacing w:before="0" w:after="60" w:line="240" w:lineRule="auto"/>
      </w:pPr>
      <w:r>
        <w:rPr>
          <w:rFonts w:ascii="Comic Neue" w:hAnsi="Comic Neue" w:eastAsia="Comic Neue"/>
          <w:b w:val="0"/>
          <w:i w:val="0"/>
          <w:color w:val="263D52"/>
          <w:sz w:val="18"/>
        </w:rPr>
        <w:t>Think it through: Input handling, filters, authentication, and application context differ; never infer permission or vulnerability from another lab.</w:t>
      </w:r>
    </w:p>
    <w:p>
      <w:pPr>
        <w:keepNext/>
        <w:spacing w:before="40" w:after="20" w:line="240" w:lineRule="auto"/>
      </w:pPr>
      <w:r>
        <w:rPr>
          <w:rFonts w:ascii="Comic Neue" w:hAnsi="Comic Neue" w:eastAsia="Comic Neue"/>
          <w:b/>
          <w:i/>
          <w:color w:val="B34778"/>
          <w:sz w:val="19"/>
        </w:rPr>
        <w:t>Q  What is a correct mitigation for SQL injection?</w:t>
      </w:r>
    </w:p>
    <w:p>
      <w:pPr>
        <w:spacing w:before="0" w:after="60" w:line="240" w:lineRule="auto"/>
      </w:pPr>
      <w:r>
        <w:rPr>
          <w:rFonts w:ascii="Comic Neue" w:hAnsi="Comic Neue" w:eastAsia="Comic Neue"/>
          <w:b w:val="0"/>
          <w:i w:val="0"/>
          <w:color w:val="263D52"/>
          <w:sz w:val="18"/>
        </w:rPr>
        <w:t>Think it through: Use parameterized queries or prepared statements and least-privilege database access.</w:t>
      </w:r>
    </w:p>
    <w:p>
      <w:pPr>
        <w:keepNext/>
        <w:spacing w:before="40" w:after="20" w:line="240" w:lineRule="auto"/>
      </w:pPr>
      <w:r>
        <w:rPr>
          <w:rFonts w:ascii="Comic Neue" w:hAnsi="Comic Neue" w:eastAsia="Comic Neue"/>
          <w:b/>
          <w:i/>
          <w:color w:val="B34778"/>
          <w:sz w:val="19"/>
        </w:rPr>
        <w:t>Q  What is a correct mitigation for XSS?</w:t>
      </w:r>
    </w:p>
    <w:p>
      <w:pPr>
        <w:spacing w:before="0" w:after="60" w:line="240" w:lineRule="auto"/>
      </w:pPr>
      <w:r>
        <w:rPr>
          <w:rFonts w:ascii="Comic Neue" w:hAnsi="Comic Neue" w:eastAsia="Comic Neue"/>
          <w:b w:val="0"/>
          <w:i w:val="0"/>
          <w:color w:val="263D52"/>
          <w:sz w:val="18"/>
        </w:rPr>
        <w:t>Think it through: Use context-aware output encoding, safe templating, and avoid unsafe HTML sinks.</w:t>
      </w:r>
    </w:p>
    <w:tbl>
      <w:tblPr>
        <w:tblW w:type="auto" w:w="0"/>
        <w:jc w:val="center"/>
        <w:tblLayout w:type="autofit"/>
        <w:tblLook w:firstColumn="1" w:firstRow="1" w:lastColumn="0" w:lastRow="0" w:noHBand="0" w:noVBand="1" w:val="04A0"/>
      </w:tblPr>
      <w:tblGrid>
        <w:gridCol w:w="9576"/>
      </w:tblGrid>
      <w:tr>
        <w:tc>
          <w:tcPr>
            <w:tcW w:type="dxa" w:w="9576"/>
            <w:shd w:fill="FFF1C9"/>
            <w:tcMar>
              <w:top w:w="90" w:type="dxa"/>
              <w:start w:w="150" w:type="dxa"/>
              <w:bottom w:w="90" w:type="dxa"/>
              <w:end w:w="150" w:type="dxa"/>
            </w:tcMar>
          </w:tcPr>
          <w:p>
            <w:pPr>
              <w:spacing w:before="0" w:after="0" w:line="240" w:lineRule="auto"/>
            </w:pPr>
            <w:r>
              <w:rPr>
                <w:rFonts w:ascii="Comic Neue" w:hAnsi="Comic Neue" w:eastAsia="Comic Neue"/>
                <w:b/>
                <w:i/>
                <w:color w:val="8A5A00"/>
                <w:sz w:val="18"/>
              </w:rPr>
              <w:t xml:space="preserve">NOTEBOOK CLOSE-OUT  </w:t>
            </w:r>
            <w:r>
              <w:rPr>
                <w:rFonts w:ascii="Comic Neue" w:hAnsi="Comic Neue" w:eastAsia="Comic Neue"/>
                <w:b w:val="0"/>
                <w:i w:val="0"/>
                <w:color w:val="2F3E50"/>
                <w:sz w:val="18"/>
              </w:rPr>
              <w:t>Finish with: Observation / Evidence source / Why it matters / Alternative explanation / Next check / Limitation. A careful “not enough evidence yet” is a valid professional result.</w:t>
            </w:r>
          </w:p>
        </w:tc>
      </w:tr>
    </w:tbl>
    <w:p>
      <w:pPr>
        <w:spacing w:after="0"/>
      </w:pPr>
    </w:p>
    <w:sectPr w:rsidR="00FC693F" w:rsidRPr="0006063C" w:rsidSect="00034616">
      <w:headerReference w:type="default" r:id="rId9"/>
      <w:footerReference w:type="default" r:id="rId10"/>
      <w:pgSz w:w="12240" w:h="15840"/>
      <w:pgMar w:top="1123" w:right="864" w:bottom="907" w:left="1800" w:header="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omic Neue" w:hAnsi="Comic Neue" w:eastAsia="Comic Neue" w:cs="Comic Neue"/>
        <w:b w:val="0"/>
        <w:i/>
        <w:color w:val="73869A"/>
        <w:sz w:val="17"/>
      </w:rPr>
      <w:t xml:space="preserve">LEARN THE IDEA  •  CHECK THE EVIDENCE  •  EXPLAIN YOUR RESULT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pPr>
    <w:r>
      <w:drawing>
        <wp:anchor distT="0" distB="0" distL="0" distR="0" simplePos="0" relativeHeight="0" behindDoc="1" locked="0" layoutInCell="1" allowOverlap="1">
          <wp:simplePos x="0" y="0"/>
          <wp:positionH relativeFrom="page">
            <wp:posOffset>0</wp:posOffset>
          </wp:positionH>
          <wp:positionV relativeFrom="page">
            <wp:posOffset>0</wp:posOffset>
          </wp:positionV>
          <wp:wrapNone/>
          <wp:extent cx="7772400" cy="10058400"/>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notebook-paper-background.png"/>
                  <pic:cNvPicPr/>
                </pic:nvPicPr>
                <pic:blipFill>
                  <a:blip r:embed="rId1"/>
                  <a:stretch>
                    <a:fillRect/>
                  </a:stretch>
                </pic:blipFill>
                <pic:spPr>
                  <a:xfrm>
                    <a:off x="0" y="0"/>
                    <a:ext cx="7772400" cy="10058400"/>
                  </a:xfrm>
                  <a:prstGeom prst="rect"/>
                </pic:spPr>
              </pic:pic>
            </a:graphicData>
          </a:graphic>
        </wp:anchor>
      </w:drawing>
    </w:r>
  </w:p>
  <w:p>
    <w:pPr>
      <w:spacing w:before="0" w:after="0" w:line="240" w:lineRule="auto"/>
      <w:jc w:val="right"/>
    </w:pPr>
    <w:r>
      <w:rPr>
        <w:rFonts w:ascii="Comic Neue" w:hAnsi="Comic Neue" w:eastAsia="Comic Neue" w:cs="Comic Neue"/>
        <w:b w:val="0"/>
        <w:i/>
        <w:color w:val="73869A"/>
        <w:sz w:val="17"/>
      </w:rPr>
      <w:t>OPENCYBERPATH  /  HANDWRITTEN LEARNING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Z003" w:hAnsi="Z003"/>
      <w:color w:val="17477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Z003" w:hAnsi="Z003"/>
      <w:b/>
      <w:bCs/>
      <w:color w:val="17477A"/>
      <w:sz w:val="4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Z003" w:hAnsi="Z003"/>
      <w:b/>
      <w:bCs/>
      <w:color w:val="B45137"/>
      <w:sz w:val="31"/>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Z003" w:hAnsi="Z003"/>
      <w:b/>
      <w:bCs/>
      <w:color w:val="267C75"/>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Z003" w:hAnsi="Z003"/>
      <w:b/>
      <w:color w:val="17477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9" w:lineRule="auto"/>
      <w:contextualSpacing/>
    </w:pPr>
    <w:rPr>
      <w:rFonts w:ascii="Z003" w:hAnsi="Z003"/>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9" w:lineRule="auto"/>
      <w:contextualSpacing/>
    </w:pPr>
    <w:rPr>
      <w:rFonts w:ascii="Z003" w:hAnsi="Z003"/>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portswigger.net/web-security/sql-injection/lab-retrieve-hidden-data" TargetMode="External"/><Relationship Id="rId18" Type="http://schemas.openxmlformats.org/officeDocument/2006/relationships/hyperlink" Target="https://portswigger.net/web-security/cross-site-scripting/reflected/lab-html-context-nothing-encoded" TargetMode="External"/><Relationship Id="rId19" Type="http://schemas.openxmlformats.org/officeDocument/2006/relationships/hyperlink" Target="https://github.com/juice-shop/juice-sho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Common Attack Patterns — connected cursive notebook</dc:title>
  <dc:subject>Expanded lab companion pages with exact provider links, scoped commands, steps, and checks.</dc:subject>
  <dc:creator>OpenCyberPath community learning project</dc:creator>
  <cp:keywords>OpenCyberPath, hands-on lab, cybersecurity notes, authorized training</cp:keywords>
  <dc:description>generated by python-docx</dc:description>
  <cp:lastModifiedBy/>
  <cp:revision>1</cp:revision>
  <dcterms:created xsi:type="dcterms:W3CDTF">2013-12-23T23:15:00Z</dcterms:created>
  <dcterms:modified xsi:type="dcterms:W3CDTF">2013-12-23T23:15:00Z</dcterms:modified>
  <cp:category/>
</cp:coreProperties>
</file>