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omic Neue" w:hAnsi="Comic Neue" w:eastAsia="Comic Neue"/>
          <w:b/>
          <w:i w:val="0"/>
          <w:color w:val="1D4C83"/>
          <w:sz w:val="50"/>
        </w:rPr>
        <w:t>Cybersecurity Command Cheatsheet</w:t>
      </w:r>
    </w:p>
    <w:p>
      <w:pPr>
        <w:spacing w:after="160"/>
      </w:pPr>
      <w:r>
        <w:rPr>
          <w:rFonts w:ascii="Comic Neue" w:hAnsi="Comic Neue" w:eastAsia="Comic Neue"/>
          <w:b w:val="0"/>
          <w:i/>
          <w:color w:val="2D73A8"/>
          <w:sz w:val="22"/>
        </w:rPr>
        <w:t>A small, safe reference for learning paths: Windows, Linux, logs, networking, and local web labs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08"/>
      </w:tblGrid>
      <w:tr>
        <w:tc>
          <w:tcPr>
            <w:tcW w:type="dxa" w:w="10108"/>
            <w:shd w:fill="EAF6FB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pPr>
              <w:spacing w:after="20"/>
            </w:pPr>
            <w:r>
              <w:rPr>
                <w:rFonts w:ascii="Aptos" w:hAnsi="Aptos" w:eastAsia="Aptos"/>
                <w:b/>
                <w:i w:val="0"/>
                <w:color w:val="2D73A8"/>
                <w:sz w:val="16"/>
              </w:rPr>
              <w:t xml:space="preserve">NOTEBOOK STYLE  </w:t>
            </w:r>
            <w:r>
              <w:rPr>
                <w:rFonts w:ascii="Aptos" w:hAnsi="Aptos" w:eastAsia="Aptos"/>
                <w:b w:val="0"/>
                <w:i w:val="0"/>
                <w:color w:val="102637"/>
                <w:sz w:val="18"/>
              </w:rPr>
              <w:t>Handwriting-inspired typeset notes for printing and revision; not a scan of actual handwriting.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08"/>
      </w:tblGrid>
      <w:tr>
        <w:tc>
          <w:tcPr>
            <w:tcW w:type="dxa" w:w="10108"/>
            <w:shd w:fill="FFF1CD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pPr>
              <w:spacing w:after="20"/>
            </w:pPr>
            <w:r>
              <w:rPr>
                <w:rFonts w:ascii="Aptos" w:hAnsi="Aptos" w:eastAsia="Aptos"/>
                <w:b/>
                <w:i w:val="0"/>
                <w:color w:val="9A6415"/>
                <w:sz w:val="16"/>
              </w:rPr>
              <w:t xml:space="preserve">SAFE USE  </w:t>
            </w:r>
            <w:r>
              <w:rPr>
                <w:rFonts w:ascii="Aptos" w:hAnsi="Aptos" w:eastAsia="Aptos"/>
                <w:b w:val="0"/>
                <w:i w:val="0"/>
                <w:color w:val="102637"/>
                <w:sz w:val="18"/>
              </w:rPr>
              <w:t>Use these commands on your own device, supplied sample files, and a local training app. Do not test public systems without explicit permission.</w:t>
            </w:r>
          </w:p>
        </w:tc>
      </w:tr>
    </w:tbl>
    <w:p>
      <w:pPr>
        <w:spacing w:after="0"/>
      </w:pPr>
    </w:p>
    <w:p>
      <w:pPr>
        <w:pStyle w:val="Heading1"/>
      </w:pPr>
      <w:r>
        <w:t>1. Windows basics (PowerShell)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54"/>
        <w:gridCol w:w="5054"/>
      </w:tblGrid>
      <w:tr>
        <w:trPr>
          <w:tblHeader w:val="true"/>
          <w:cantSplit/>
        </w:trPr>
        <w:tc>
          <w:tcPr>
            <w:tcW w:type="dxa" w:w="5054"/>
            <w:shd w:fill="102637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7"/>
              </w:rPr>
              <w:t>Goal</w:t>
            </w:r>
          </w:p>
        </w:tc>
        <w:tc>
          <w:tcPr>
            <w:tcW w:type="dxa" w:w="5054"/>
            <w:shd w:fill="102637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7"/>
              </w:rPr>
              <w:t>Read-only command / example</w:t>
            </w:r>
          </w:p>
        </w:tc>
      </w:tr>
      <w:tr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See running processes</w:t>
            </w:r>
          </w:p>
        </w:tc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Get-Process | Sort-Object CPU -Descending | Select-Object -First 10 Name,Id,CPU</w:t>
            </w:r>
          </w:p>
        </w:tc>
      </w:tr>
      <w:tr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  <w:shd w:fill="F1F6F7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Read recent authentication events (permissions may be required)</w:t>
            </w:r>
          </w:p>
        </w:tc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  <w:shd w:fill="F1F6F7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Get-WinEvent -FilterHashtable @{LogName="Security"; Id=4624,4625} -MaxEvents 20</w:t>
            </w:r>
          </w:p>
        </w:tc>
      </w:tr>
      <w:tr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Read JSON training data</w:t>
            </w:r>
          </w:p>
        </w:tc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$data = Get-Content .\sample.json -Raw | ConvertFrom-Json</w:t>
            </w:r>
          </w:p>
        </w:tc>
      </w:tr>
      <w:tr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  <w:shd w:fill="F1F6F7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Find a word in a sample file</w:t>
            </w:r>
          </w:p>
        </w:tc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  <w:shd w:fill="F1F6F7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Select-String -Path .\sample.csv -Pattern "suspicious"</w:t>
            </w:r>
          </w:p>
        </w:tc>
      </w:tr>
    </w:tbl>
    <w:p>
      <w:pPr>
        <w:pStyle w:val="Heading1"/>
      </w:pPr>
      <w:r>
        <w:t>2. Linux basics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54"/>
        <w:gridCol w:w="5054"/>
      </w:tblGrid>
      <w:tr>
        <w:trPr>
          <w:tblHeader w:val="true"/>
          <w:cantSplit/>
        </w:trPr>
        <w:tc>
          <w:tcPr>
            <w:tcW w:type="dxa" w:w="5054"/>
            <w:shd w:fill="102637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7"/>
              </w:rPr>
              <w:t>Goal</w:t>
            </w:r>
          </w:p>
        </w:tc>
        <w:tc>
          <w:tcPr>
            <w:tcW w:type="dxa" w:w="5054"/>
            <w:shd w:fill="102637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7"/>
              </w:rPr>
              <w:t>Command / example</w:t>
            </w:r>
          </w:p>
        </w:tc>
      </w:tr>
      <w:tr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Show addresses on your own device</w:t>
            </w:r>
          </w:p>
        </w:tc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ip addr</w:t>
            </w:r>
          </w:p>
        </w:tc>
      </w:tr>
      <w:tr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  <w:shd w:fill="F1F6F7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List listening sockets on your own device</w:t>
            </w:r>
          </w:p>
        </w:tc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  <w:shd w:fill="F1F6F7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ss -tulpn</w:t>
            </w:r>
          </w:p>
        </w:tc>
      </w:tr>
      <w:tr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Read recent warning-level journal entries</w:t>
            </w:r>
          </w:p>
        </w:tc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journalctl -p warning -n 50</w:t>
            </w:r>
          </w:p>
        </w:tc>
      </w:tr>
      <w:tr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  <w:shd w:fill="F1F6F7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Search a local log file for a word</w:t>
            </w:r>
          </w:p>
        </w:tc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  <w:shd w:fill="F1F6F7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grep -in "failed" sample.log</w:t>
            </w:r>
          </w:p>
        </w:tc>
      </w:tr>
      <w:tr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Count repeated first-column values (CSV must be simple)</w:t>
            </w:r>
          </w:p>
        </w:tc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cut -d, -f1 sample.csv | sort | uniq -c</w:t>
            </w:r>
          </w:p>
        </w:tc>
      </w:tr>
    </w:tbl>
    <w:p>
      <w:r>
        <w:br w:type="page"/>
      </w:r>
    </w:p>
    <w:p>
      <w:pPr>
        <w:pStyle w:val="Heading1"/>
      </w:pPr>
      <w:r>
        <w:t>3. Networking concepts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54"/>
        <w:gridCol w:w="5054"/>
      </w:tblGrid>
      <w:tr>
        <w:trPr>
          <w:tblHeader w:val="true"/>
          <w:cantSplit/>
        </w:trPr>
        <w:tc>
          <w:tcPr>
            <w:tcW w:type="dxa" w:w="5054"/>
            <w:shd w:fill="102637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7"/>
              </w:rPr>
              <w:t>Question</w:t>
            </w:r>
          </w:p>
        </w:tc>
        <w:tc>
          <w:tcPr>
            <w:tcW w:type="dxa" w:w="5054"/>
            <w:shd w:fill="102637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7"/>
              </w:rPr>
              <w:t>Safe example</w:t>
            </w:r>
          </w:p>
        </w:tc>
      </w:tr>
      <w:tr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What address does a public training domain resolve to?</w:t>
            </w:r>
          </w:p>
        </w:tc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nslookup example.com</w:t>
            </w:r>
          </w:p>
        </w:tc>
      </w:tr>
      <w:tr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  <w:shd w:fill="F1F6F7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What HTTP headers does my local training app return?</w:t>
            </w:r>
          </w:p>
        </w:tc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  <w:shd w:fill="F1F6F7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curl -I http://127.0.0.1:3000</w:t>
            </w:r>
          </w:p>
        </w:tc>
      </w:tr>
      <w:tr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What is a port?</w:t>
            </w:r>
          </w:p>
        </w:tc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A numbered endpoint used by a network service; do not assume an open port is a vulnerability.</w:t>
            </w:r>
          </w:p>
        </w:tc>
      </w:tr>
      <w:tr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  <w:shd w:fill="F1F6F7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What is DNS?</w:t>
            </w:r>
          </w:p>
        </w:tc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  <w:shd w:fill="F1F6F7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A naming system that helps map names to records such as IP addresses.</w:t>
            </w:r>
          </w:p>
        </w:tc>
      </w:tr>
    </w:tbl>
    <w:p>
      <w:pPr>
        <w:pStyle w:val="Heading1"/>
      </w:pPr>
      <w:r>
        <w:t>4. Log triage workflow</w:t>
      </w:r>
    </w:p>
    <w:p>
      <w:pPr>
        <w:spacing w:after="32"/>
        <w:ind w:left="346" w:hanging="346"/>
      </w:pPr>
      <w:r>
        <w:rPr>
          <w:rFonts w:ascii="Comic Neue" w:hAnsi="Comic Neue" w:eastAsia="Comic Neue"/>
          <w:b/>
          <w:i w:val="0"/>
          <w:color w:val="00B894"/>
          <w:sz w:val="20"/>
        </w:rPr>
        <w:t xml:space="preserve">1. </w:t>
      </w:r>
      <w:r>
        <w:rPr>
          <w:rFonts w:ascii="Comic Neue" w:hAnsi="Comic Neue" w:eastAsia="Comic Neue"/>
          <w:b w:val="0"/>
          <w:i w:val="0"/>
          <w:color w:val="1D4C83"/>
          <w:sz w:val="20"/>
        </w:rPr>
        <w:t>Record the time range and timezone.</w:t>
      </w:r>
    </w:p>
    <w:p>
      <w:pPr>
        <w:spacing w:after="32"/>
        <w:ind w:left="346" w:hanging="346"/>
      </w:pPr>
      <w:r>
        <w:rPr>
          <w:rFonts w:ascii="Comic Neue" w:hAnsi="Comic Neue" w:eastAsia="Comic Neue"/>
          <w:b/>
          <w:i w:val="0"/>
          <w:color w:val="00B894"/>
          <w:sz w:val="20"/>
        </w:rPr>
        <w:t xml:space="preserve">2. </w:t>
      </w:r>
      <w:r>
        <w:rPr>
          <w:rFonts w:ascii="Comic Neue" w:hAnsi="Comic Neue" w:eastAsia="Comic Neue"/>
          <w:b w:val="0"/>
          <w:i w:val="0"/>
          <w:color w:val="1D4C83"/>
          <w:sz w:val="20"/>
        </w:rPr>
        <w:t>Filter the provided synthetic sample to the event types relevant to the question.</w:t>
      </w:r>
    </w:p>
    <w:p>
      <w:pPr>
        <w:spacing w:after="32"/>
        <w:ind w:left="346" w:hanging="346"/>
      </w:pPr>
      <w:r>
        <w:rPr>
          <w:rFonts w:ascii="Comic Neue" w:hAnsi="Comic Neue" w:eastAsia="Comic Neue"/>
          <w:b/>
          <w:i w:val="0"/>
          <w:color w:val="00B894"/>
          <w:sz w:val="20"/>
        </w:rPr>
        <w:t xml:space="preserve">3. </w:t>
      </w:r>
      <w:r>
        <w:rPr>
          <w:rFonts w:ascii="Comic Neue" w:hAnsi="Comic Neue" w:eastAsia="Comic Neue"/>
          <w:b w:val="0"/>
          <w:i w:val="0"/>
          <w:color w:val="1D4C83"/>
          <w:sz w:val="20"/>
        </w:rPr>
        <w:t>Group by user, host, source, and outcome where useful.</w:t>
      </w:r>
    </w:p>
    <w:p>
      <w:pPr>
        <w:spacing w:after="32"/>
        <w:ind w:left="346" w:hanging="346"/>
      </w:pPr>
      <w:r>
        <w:rPr>
          <w:rFonts w:ascii="Comic Neue" w:hAnsi="Comic Neue" w:eastAsia="Comic Neue"/>
          <w:b/>
          <w:i w:val="0"/>
          <w:color w:val="00B894"/>
          <w:sz w:val="20"/>
        </w:rPr>
        <w:t xml:space="preserve">4. </w:t>
      </w:r>
      <w:r>
        <w:rPr>
          <w:rFonts w:ascii="Comic Neue" w:hAnsi="Comic Neue" w:eastAsia="Comic Neue"/>
          <w:b w:val="0"/>
          <w:i w:val="0"/>
          <w:color w:val="1D4C83"/>
          <w:sz w:val="20"/>
        </w:rPr>
        <w:t>Compare successful and failed activity with a baseline.</w:t>
      </w:r>
    </w:p>
    <w:p>
      <w:pPr>
        <w:spacing w:after="32"/>
        <w:ind w:left="346" w:hanging="346"/>
      </w:pPr>
      <w:r>
        <w:rPr>
          <w:rFonts w:ascii="Comic Neue" w:hAnsi="Comic Neue" w:eastAsia="Comic Neue"/>
          <w:b/>
          <w:i w:val="0"/>
          <w:color w:val="00B894"/>
          <w:sz w:val="20"/>
        </w:rPr>
        <w:t xml:space="preserve">5. </w:t>
      </w:r>
      <w:r>
        <w:rPr>
          <w:rFonts w:ascii="Comic Neue" w:hAnsi="Comic Neue" w:eastAsia="Comic Neue"/>
          <w:b w:val="0"/>
          <w:i w:val="0"/>
          <w:color w:val="1D4C83"/>
          <w:sz w:val="20"/>
        </w:rPr>
        <w:t>Keep raw events and note which filters you applied.</w:t>
      </w:r>
    </w:p>
    <w:p>
      <w:pPr>
        <w:spacing w:after="32"/>
        <w:ind w:left="346" w:hanging="346"/>
      </w:pPr>
      <w:r>
        <w:rPr>
          <w:rFonts w:ascii="Comic Neue" w:hAnsi="Comic Neue" w:eastAsia="Comic Neue"/>
          <w:b/>
          <w:i w:val="0"/>
          <w:color w:val="00B894"/>
          <w:sz w:val="20"/>
        </w:rPr>
        <w:t xml:space="preserve">6. </w:t>
      </w:r>
      <w:r>
        <w:rPr>
          <w:rFonts w:ascii="Comic Neue" w:hAnsi="Comic Neue" w:eastAsia="Comic Neue"/>
          <w:b w:val="0"/>
          <w:i w:val="0"/>
          <w:color w:val="1D4C83"/>
          <w:sz w:val="20"/>
        </w:rPr>
        <w:t>Write facts, hypotheses, unknowns, and next steps separately.</w:t>
      </w:r>
    </w:p>
    <w:p>
      <w:pPr>
        <w:pStyle w:val="Heading1"/>
      </w:pPr>
      <w:r>
        <w:t>5. Threat-hunting memory aid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08"/>
      </w:tblGrid>
      <w:tr>
        <w:tc>
          <w:tcPr>
            <w:tcW w:type="dxa" w:w="10108"/>
            <w:shd w:fill="E3FFF4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pPr>
              <w:spacing w:after="20"/>
            </w:pPr>
            <w:r>
              <w:rPr>
                <w:rFonts w:ascii="Aptos" w:hAnsi="Aptos" w:eastAsia="Aptos"/>
                <w:b/>
                <w:i w:val="0"/>
                <w:color w:val="00B894"/>
                <w:sz w:val="16"/>
              </w:rPr>
              <w:t xml:space="preserve">HYPOTHESIS → QUERY → VALIDATE → DOCUMENT  </w:t>
            </w:r>
            <w:r>
              <w:rPr>
                <w:rFonts w:ascii="Aptos" w:hAnsi="Aptos" w:eastAsia="Aptos"/>
                <w:b w:val="0"/>
                <w:i w:val="0"/>
                <w:color w:val="102637"/>
                <w:sz w:val="18"/>
              </w:rPr>
              <w:t>What would I expect if my hypothesis were true? What else could explain the same pattern? What data is missing?</w:t>
            </w:r>
          </w:p>
        </w:tc>
      </w:tr>
    </w:tbl>
    <w:p>
      <w:pPr>
        <w:spacing w:after="0"/>
      </w:pPr>
    </w:p>
    <w:p>
      <w:pPr>
        <w:pStyle w:val="Heading1"/>
      </w:pPr>
      <w:r>
        <w:t>6. Bug-bounty checklist</w:t>
      </w:r>
    </w:p>
    <w:p>
      <w:pPr>
        <w:pStyle w:val="ListBullet"/>
        <w:spacing w:after="30"/>
      </w:pPr>
      <w:r>
        <w:rPr>
          <w:rFonts w:ascii="Comic Neue" w:hAnsi="Comic Neue" w:eastAsia="Comic Neue"/>
          <w:b w:val="0"/>
          <w:i w:val="0"/>
          <w:color w:val="1D4C83"/>
          <w:sz w:val="20"/>
        </w:rPr>
        <w:t>Read the program brief, exact in-scope assets, exclusions, rate limits, and disclosure rules.</w:t>
      </w:r>
    </w:p>
    <w:p>
      <w:pPr>
        <w:pStyle w:val="ListBullet"/>
        <w:spacing w:after="30"/>
      </w:pPr>
      <w:r>
        <w:rPr>
          <w:rFonts w:ascii="Comic Neue" w:hAnsi="Comic Neue" w:eastAsia="Comic Neue"/>
          <w:b w:val="0"/>
          <w:i w:val="0"/>
          <w:color w:val="1D4C83"/>
          <w:sz w:val="20"/>
        </w:rPr>
        <w:t>Prefer official training platforms or a local lab for practice.</w:t>
      </w:r>
    </w:p>
    <w:p>
      <w:pPr>
        <w:pStyle w:val="ListBullet"/>
        <w:spacing w:after="30"/>
      </w:pPr>
      <w:r>
        <w:rPr>
          <w:rFonts w:ascii="Comic Neue" w:hAnsi="Comic Neue" w:eastAsia="Comic Neue"/>
          <w:b w:val="0"/>
          <w:i w:val="0"/>
          <w:color w:val="1D4C83"/>
          <w:sz w:val="20"/>
        </w:rPr>
        <w:t>Use minimal, non-destructive tests and demo accounts only.</w:t>
      </w:r>
    </w:p>
    <w:p>
      <w:pPr>
        <w:pStyle w:val="ListBullet"/>
        <w:spacing w:after="30"/>
      </w:pPr>
      <w:r>
        <w:rPr>
          <w:rFonts w:ascii="Comic Neue" w:hAnsi="Comic Neue" w:eastAsia="Comic Neue"/>
          <w:b w:val="0"/>
          <w:i w:val="0"/>
          <w:color w:val="1D4C83"/>
          <w:sz w:val="20"/>
        </w:rPr>
        <w:t>Stop if real user data or a production-side effect appears.</w:t>
      </w:r>
    </w:p>
    <w:p>
      <w:pPr>
        <w:pStyle w:val="ListBullet"/>
        <w:spacing w:after="30"/>
      </w:pPr>
      <w:r>
        <w:rPr>
          <w:rFonts w:ascii="Comic Neue" w:hAnsi="Comic Neue" w:eastAsia="Comic Neue"/>
          <w:b w:val="0"/>
          <w:i w:val="0"/>
          <w:color w:val="1D4C83"/>
          <w:sz w:val="20"/>
        </w:rPr>
        <w:t>Write a reproducible report and redact secrets, tokens, and personal data.</w:t>
      </w:r>
    </w:p>
    <w:p>
      <w:pPr>
        <w:pStyle w:val="Heading1"/>
      </w:pPr>
      <w:r>
        <w:t>7. Useful formulas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9"/>
        <w:gridCol w:w="3369"/>
        <w:gridCol w:w="3369"/>
      </w:tblGrid>
      <w:tr>
        <w:trPr>
          <w:tblHeader w:val="true"/>
          <w:cantSplit/>
        </w:trPr>
        <w:tc>
          <w:tcPr>
            <w:tcW w:type="dxa" w:w="3369"/>
            <w:shd w:fill="102637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7"/>
              </w:rPr>
              <w:t>Metric</w:t>
            </w:r>
          </w:p>
        </w:tc>
        <w:tc>
          <w:tcPr>
            <w:tcW w:type="dxa" w:w="3369"/>
            <w:shd w:fill="102637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7"/>
              </w:rPr>
              <w:t>Formula</w:t>
            </w:r>
          </w:p>
        </w:tc>
        <w:tc>
          <w:tcPr>
            <w:tcW w:type="dxa" w:w="3369"/>
            <w:shd w:fill="102637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7"/>
              </w:rPr>
              <w:t>Interpretation</w:t>
            </w:r>
          </w:p>
        </w:tc>
      </w:tr>
      <w:tr>
        <w:tc>
          <w:tcPr>
            <w:tcW w:type="dxa" w:w="3369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Precision</w:t>
            </w:r>
          </w:p>
        </w:tc>
        <w:tc>
          <w:tcPr>
            <w:tcW w:type="dxa" w:w="3369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TP / (TP + FP)</w:t>
            </w:r>
          </w:p>
        </w:tc>
        <w:tc>
          <w:tcPr>
            <w:tcW w:type="dxa" w:w="3369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Of the rule alerts, how many were true positives in labelled data?</w:t>
            </w:r>
          </w:p>
        </w:tc>
      </w:tr>
      <w:tr>
        <w:tc>
          <w:tcPr>
            <w:tcW w:type="dxa" w:w="3369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  <w:shd w:fill="F1F6F7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Recall</w:t>
            </w:r>
          </w:p>
        </w:tc>
        <w:tc>
          <w:tcPr>
            <w:tcW w:type="dxa" w:w="3369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  <w:shd w:fill="F1F6F7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TP / (TP + FN)</w:t>
            </w:r>
          </w:p>
        </w:tc>
        <w:tc>
          <w:tcPr>
            <w:tcW w:type="dxa" w:w="3369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  <w:shd w:fill="F1F6F7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How many labelled suspicious cases did it find?</w:t>
            </w:r>
          </w:p>
        </w:tc>
      </w:tr>
      <w:tr>
        <w:tc>
          <w:tcPr>
            <w:tcW w:type="dxa" w:w="3369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Specificity</w:t>
            </w:r>
          </w:p>
        </w:tc>
        <w:tc>
          <w:tcPr>
            <w:tcW w:type="dxa" w:w="3369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TN / (TN + FP)</w:t>
            </w:r>
          </w:p>
        </w:tc>
        <w:tc>
          <w:tcPr>
            <w:tcW w:type="dxa" w:w="3369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How many labelled benign cases did it ignore correctly?</w:t>
            </w:r>
          </w:p>
        </w:tc>
      </w:tr>
      <w:tr>
        <w:tc>
          <w:tcPr>
            <w:tcW w:type="dxa" w:w="3369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  <w:shd w:fill="F1F6F7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F1</w:t>
            </w:r>
          </w:p>
        </w:tc>
        <w:tc>
          <w:tcPr>
            <w:tcW w:type="dxa" w:w="3369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  <w:shd w:fill="F1F6F7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2 × Precision × Recall / (Precision + Recall)</w:t>
            </w:r>
          </w:p>
        </w:tc>
        <w:tc>
          <w:tcPr>
            <w:tcW w:type="dxa" w:w="3369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  <w:shd w:fill="F1F6F7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A combined measure of precision and recall.</w:t>
            </w:r>
          </w:p>
        </w:tc>
      </w:tr>
    </w:tbl>
    <w:p>
      <w:pPr>
        <w:pageBreakBefore/>
        <w:spacing w:before="0" w:after="20" w:line="240" w:lineRule="auto"/>
        <w:jc w:val="right"/>
      </w:pPr>
      <w:r>
        <w:rPr>
          <w:rFonts w:ascii="Comic Neue" w:hAnsi="Comic Neue" w:eastAsia="Comic Neue"/>
          <w:b/>
          <w:i/>
          <w:color w:val="688097"/>
          <w:sz w:val="15"/>
        </w:rPr>
        <w:t>OPENCYBERPATH FIELD NOTEBOOK - MATCHED EXTERNAL PRACTICE</w:t>
      </w:r>
    </w:p>
    <w:p>
      <w:pPr>
        <w:keepNext/>
        <w:spacing w:before="100" w:after="80" w:line="240" w:lineRule="auto"/>
      </w:pPr>
      <w:r>
        <w:rPr>
          <w:rFonts w:ascii="Comic Neue" w:hAnsi="Comic Neue" w:eastAsia="Comic Neue"/>
          <w:b/>
          <w:i/>
          <w:color w:val="087F8C"/>
          <w:sz w:val="34"/>
        </w:rPr>
        <w:t>A real lab for these notes</w:t>
      </w:r>
    </w:p>
    <w:p>
      <w:pPr>
        <w:spacing w:before="0" w:after="80" w:line="240" w:lineRule="auto"/>
      </w:pPr>
      <w:r>
        <w:rPr>
          <w:rFonts w:ascii="Comic Neue" w:hAnsi="Comic Neue" w:eastAsia="Comic Neue"/>
          <w:b w:val="0"/>
          <w:i w:val="0"/>
          <w:color w:val="24344D"/>
          <w:sz w:val="20"/>
        </w:rPr>
        <w:t>Topic: Beginner commands for Linux, Windows CMD, PowerShell, local networking, and safe lab setup. These pages connect the existing OpenCyberPath notes to specific provider-hosted exercises. The card label is intentionally generic; the exact task name and direct URL are listed here so you can open the right exercise instead of a whole catalogue.</w:t>
      </w:r>
    </w:p>
    <w:p>
      <w:pPr>
        <w:keepNext/>
        <w:spacing w:before="40" w:after="80" w:line="240" w:lineRule="auto"/>
      </w:pPr>
      <w:r>
        <w:rPr>
          <w:rFonts w:ascii="Comic Neue" w:hAnsi="Comic Neue" w:eastAsia="Comic Neue"/>
          <w:b/>
          <w:i/>
          <w:color w:val="B34778"/>
          <w:sz w:val="25"/>
        </w:rPr>
        <w:t>Concept checkpoints</w:t>
      </w:r>
    </w:p>
    <w:p>
      <w:pPr>
        <w:pStyle w:val="ListBullet"/>
        <w:spacing w:before="0" w:after="40" w:line="240" w:lineRule="auto"/>
      </w:pPr>
      <w:r>
        <w:rPr>
          <w:rFonts w:ascii="Comic Neue" w:hAnsi="Comic Neue" w:eastAsia="Comic Neue"/>
          <w:b w:val="0"/>
          <w:i w:val="0"/>
          <w:color w:val="283A50"/>
          <w:sz w:val="19"/>
        </w:rPr>
        <w:t>Read the help page before using a new command.</w:t>
      </w:r>
    </w:p>
    <w:p>
      <w:pPr>
        <w:pStyle w:val="ListBullet"/>
        <w:spacing w:before="0" w:after="40" w:line="240" w:lineRule="auto"/>
      </w:pPr>
      <w:r>
        <w:rPr>
          <w:rFonts w:ascii="Comic Neue" w:hAnsi="Comic Neue" w:eastAsia="Comic Neue"/>
          <w:b w:val="0"/>
          <w:i w:val="0"/>
          <w:color w:val="283A50"/>
          <w:sz w:val="19"/>
        </w:rPr>
        <w:t>Use read-only discovery first: identity, path, version, and configuration.</w:t>
      </w:r>
    </w:p>
    <w:p>
      <w:pPr>
        <w:pStyle w:val="ListBullet"/>
        <w:spacing w:before="0" w:after="40" w:line="240" w:lineRule="auto"/>
      </w:pPr>
      <w:r>
        <w:rPr>
          <w:rFonts w:ascii="Comic Neue" w:hAnsi="Comic Neue" w:eastAsia="Comic Neue"/>
          <w:b w:val="0"/>
          <w:i w:val="0"/>
          <w:color w:val="283A50"/>
          <w:sz w:val="19"/>
        </w:rPr>
        <w:t>Networking commands below are limited to localhost or a host/IP explicitly assigned by a training room.</w:t>
      </w:r>
    </w:p>
    <w:p>
      <w:pPr>
        <w:pStyle w:val="ListBullet"/>
        <w:spacing w:before="0" w:after="40" w:line="240" w:lineRule="auto"/>
      </w:pPr>
      <w:r>
        <w:rPr>
          <w:rFonts w:ascii="Comic Neue" w:hAnsi="Comic Neue" w:eastAsia="Comic Neue"/>
          <w:b w:val="0"/>
          <w:i w:val="0"/>
          <w:color w:val="283A50"/>
          <w:sz w:val="19"/>
        </w:rPr>
        <w:t>Use git clone only for an intended public repository such as OWASP Juice Shop; the clone command does not start or test any remote target.</w:t>
      </w:r>
    </w:p>
    <w:p>
      <w:pPr>
        <w:keepNext/>
        <w:spacing w:before="0" w:after="0" w:line="240" w:lineRule="auto"/>
      </w:pPr>
      <w:r>
        <w:rPr>
          <w:rFonts w:ascii="Comic Neue" w:hAnsi="Comic Neue" w:eastAsia="Comic Neue"/>
          <w:b/>
          <w:i w:val="0"/>
          <w:color w:val="213A58"/>
          <w:sz w:val="20"/>
        </w:rPr>
        <w:t xml:space="preserve">Windows Command Line  </w:t>
      </w:r>
      <w:r>
        <w:rPr>
          <w:rFonts w:ascii="Comic Neue" w:hAnsi="Comic Neue" w:eastAsia="Comic Neue"/>
          <w:b w:val="0"/>
          <w:i/>
          <w:color w:val="007B89"/>
          <w:sz w:val="17"/>
        </w:rPr>
        <w:t>[TryHackMe]</w:t>
      </w:r>
    </w:p>
    <w:p>
      <w:pPr>
        <w:spacing w:before="0" w:after="20" w:line="240" w:lineRule="auto"/>
      </w:pPr>
      <w:hyperlink r:id="rId11">
        <w:r>
          <w:rPr>
            <w:color w:val="1465A8"/>
            <w:u w:val="single"/>
            <w:rFonts w:ascii="DejaVu Sans Mono" w:hAnsi="DejaVu Sans Mono" w:eastAsia="DejaVu Sans Mono"/>
            <w:sz w:val="15"/>
          </w:rPr>
          <w:t>https://tryhackme.com/room/windowscommandline</w:t>
        </w:r>
      </w:hyperlink>
    </w:p>
    <w:p>
      <w:pPr>
        <w:spacing w:before="0" w:after="60" w:line="240" w:lineRule="auto"/>
      </w:pPr>
      <w:r>
        <w:rPr>
          <w:rFonts w:ascii="Comic Neue" w:hAnsi="Comic Neue" w:eastAsia="Comic Neue"/>
          <w:b w:val="0"/>
          <w:i/>
          <w:color w:val="5E6D7E"/>
          <w:sz w:val="17"/>
        </w:rPr>
        <w:t>Access note: Account required; a deployable machine is described by the provider. Current room access may vary.</w:t>
      </w:r>
    </w:p>
    <w:p>
      <w:pPr>
        <w:keepNext/>
        <w:spacing w:before="0" w:after="0" w:line="240" w:lineRule="auto"/>
      </w:pPr>
      <w:r>
        <w:rPr>
          <w:rFonts w:ascii="Comic Neue" w:hAnsi="Comic Neue" w:eastAsia="Comic Neue"/>
          <w:b/>
          <w:i w:val="0"/>
          <w:color w:val="213A58"/>
          <w:sz w:val="20"/>
        </w:rPr>
        <w:t xml:space="preserve">Windows PowerShell  </w:t>
      </w:r>
      <w:r>
        <w:rPr>
          <w:rFonts w:ascii="Comic Neue" w:hAnsi="Comic Neue" w:eastAsia="Comic Neue"/>
          <w:b w:val="0"/>
          <w:i/>
          <w:color w:val="007B89"/>
          <w:sz w:val="17"/>
        </w:rPr>
        <w:t>[TryHackMe]</w:t>
      </w:r>
    </w:p>
    <w:p>
      <w:pPr>
        <w:spacing w:before="0" w:after="20" w:line="240" w:lineRule="auto"/>
      </w:pPr>
      <w:hyperlink r:id="rId12">
        <w:r>
          <w:rPr>
            <w:color w:val="1465A8"/>
            <w:u w:val="single"/>
            <w:rFonts w:ascii="DejaVu Sans Mono" w:hAnsi="DejaVu Sans Mono" w:eastAsia="DejaVu Sans Mono"/>
            <w:sz w:val="15"/>
          </w:rPr>
          <w:t>https://tryhackme.com/room/windowspowershell</w:t>
        </w:r>
      </w:hyperlink>
    </w:p>
    <w:p>
      <w:pPr>
        <w:spacing w:before="0" w:after="60" w:line="240" w:lineRule="auto"/>
      </w:pPr>
      <w:r>
        <w:rPr>
          <w:rFonts w:ascii="Comic Neue" w:hAnsi="Comic Neue" w:eastAsia="Comic Neue"/>
          <w:b w:val="0"/>
          <w:i/>
          <w:color w:val="5E6D7E"/>
          <w:sz w:val="17"/>
        </w:rPr>
        <w:t>Access note: Account required; the provider page may reserve some room tasks for paid access.</w:t>
      </w:r>
    </w:p>
    <w:p>
      <w:pPr>
        <w:keepNext/>
        <w:spacing w:before="0" w:after="0" w:line="240" w:lineRule="auto"/>
      </w:pPr>
      <w:r>
        <w:rPr>
          <w:rFonts w:ascii="Comic Neue" w:hAnsi="Comic Neue" w:eastAsia="Comic Neue"/>
          <w:b/>
          <w:i w:val="0"/>
          <w:color w:val="213A58"/>
          <w:sz w:val="20"/>
        </w:rPr>
        <w:t xml:space="preserve">Bandit Level 0  </w:t>
      </w:r>
      <w:r>
        <w:rPr>
          <w:rFonts w:ascii="Comic Neue" w:hAnsi="Comic Neue" w:eastAsia="Comic Neue"/>
          <w:b w:val="0"/>
          <w:i/>
          <w:color w:val="007B89"/>
          <w:sz w:val="17"/>
        </w:rPr>
        <w:t>[OverTheWire]</w:t>
      </w:r>
    </w:p>
    <w:p>
      <w:pPr>
        <w:spacing w:before="0" w:after="20" w:line="240" w:lineRule="auto"/>
      </w:pPr>
      <w:hyperlink r:id="rId13">
        <w:r>
          <w:rPr>
            <w:color w:val="1465A8"/>
            <w:u w:val="single"/>
            <w:rFonts w:ascii="DejaVu Sans Mono" w:hAnsi="DejaVu Sans Mono" w:eastAsia="DejaVu Sans Mono"/>
            <w:sz w:val="15"/>
          </w:rPr>
          <w:t>https://overthewire.org/wargames/bandit/bandit0.html</w:t>
        </w:r>
      </w:hyperlink>
    </w:p>
    <w:p>
      <w:pPr>
        <w:spacing w:before="0" w:after="60" w:line="240" w:lineRule="auto"/>
      </w:pPr>
      <w:r>
        <w:rPr>
          <w:rFonts w:ascii="Comic Neue" w:hAnsi="Comic Neue" w:eastAsia="Comic Neue"/>
          <w:b w:val="0"/>
          <w:i/>
          <w:color w:val="5E6D7E"/>
          <w:sz w:val="17"/>
        </w:rPr>
        <w:t>Access note: Free SSH practice against the official Bandit game host; use only its designated login and port.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108"/>
      </w:tblGrid>
      <w:tr>
        <w:tc>
          <w:tcPr>
            <w:tcW w:type="dxa" w:w="10108"/>
            <w:shd w:fill="DDF4F2"/>
            <w:tcMar>
              <w:top w:w="90" w:type="dxa"/>
              <w:start w:w="150" w:type="dxa"/>
              <w:bottom w:w="90" w:type="dxa"/>
              <w:end w:w="150" w:type="dxa"/>
            </w:tcMar>
          </w:tcPr>
          <w:p>
            <w:pPr>
              <w:spacing w:before="0" w:after="0" w:line="240" w:lineRule="auto"/>
            </w:pPr>
            <w:r>
              <w:rPr>
                <w:rFonts w:ascii="Comic Neue" w:hAnsi="Comic Neue" w:eastAsia="Comic Neue"/>
                <w:b/>
                <w:i/>
                <w:color w:val="087F8C"/>
                <w:sz w:val="18"/>
              </w:rPr>
              <w:t xml:space="preserve">ACCESS CHECK  </w:t>
            </w:r>
            <w:r>
              <w:rPr>
                <w:rFonts w:ascii="Comic Neue" w:hAnsi="Comic Neue" w:eastAsia="Comic Neue"/>
                <w:b w:val="0"/>
                <w:i w:val="0"/>
                <w:color w:val="2F3E50"/>
                <w:sz w:val="18"/>
              </w:rPr>
              <w:t>Open the exact task page and verify the current login, account tier, VM launch button, free/paid terms, and any cost notes before starting. A provider may change availability or retire a challenge.</w:t>
            </w:r>
          </w:p>
        </w:tc>
      </w:tr>
    </w:tbl>
    <w:p>
      <w:pPr>
        <w:spacing w:after="0"/>
      </w:pPr>
    </w:p>
    <w:p>
      <w:pPr>
        <w:keepNext/>
        <w:spacing w:before="40" w:after="80" w:line="240" w:lineRule="auto"/>
      </w:pPr>
      <w:r>
        <w:rPr>
          <w:rFonts w:ascii="Comic Neue" w:hAnsi="Comic Neue" w:eastAsia="Comic Neue"/>
          <w:b/>
          <w:i/>
          <w:color w:val="B34778"/>
          <w:sz w:val="25"/>
        </w:rPr>
        <w:t>Before you click Start</w:t>
      </w:r>
    </w:p>
    <w:p>
      <w:pPr>
        <w:pStyle w:val="ListBullet"/>
        <w:spacing w:before="0" w:after="40" w:line="240" w:lineRule="auto"/>
      </w:pPr>
      <w:r>
        <w:rPr>
          <w:rFonts w:ascii="Comic Neue" w:hAnsi="Comic Neue" w:eastAsia="Comic Neue"/>
          <w:b w:val="0"/>
          <w:i w:val="0"/>
          <w:color w:val="283A50"/>
          <w:sz w:val="19"/>
        </w:rPr>
        <w:t>Write down the provider’s target/scope and use only the instance it creates for you.</w:t>
      </w:r>
    </w:p>
    <w:p>
      <w:pPr>
        <w:pStyle w:val="ListBullet"/>
        <w:spacing w:before="0" w:after="40" w:line="240" w:lineRule="auto"/>
      </w:pPr>
      <w:r>
        <w:rPr>
          <w:rFonts w:ascii="Comic Neue" w:hAnsi="Comic Neue" w:eastAsia="Comic Neue"/>
          <w:b w:val="0"/>
          <w:i w:val="0"/>
          <w:color w:val="283A50"/>
          <w:sz w:val="19"/>
        </w:rPr>
        <w:t>Keep this notebook beside the exercise. Use its original course data before trying commands on a local machine.</w:t>
      </w:r>
    </w:p>
    <w:p>
      <w:pPr>
        <w:pStyle w:val="ListBullet"/>
        <w:spacing w:before="0" w:after="40" w:line="240" w:lineRule="auto"/>
      </w:pPr>
      <w:r>
        <w:rPr>
          <w:rFonts w:ascii="Comic Neue" w:hAnsi="Comic Neue" w:eastAsia="Comic Neue"/>
          <w:b w:val="0"/>
          <w:i w:val="0"/>
          <w:color w:val="283A50"/>
          <w:sz w:val="19"/>
        </w:rPr>
        <w:t>Capture timestamps, filenames, row/packet IDs, and a short explanation; redact credentials, tokens, and personal data.</w:t>
      </w:r>
    </w:p>
    <w:p>
      <w:pPr>
        <w:pStyle w:val="ListBullet"/>
        <w:spacing w:before="0" w:after="40" w:line="240" w:lineRule="auto"/>
      </w:pPr>
      <w:r>
        <w:rPr>
          <w:rFonts w:ascii="Comic Neue" w:hAnsi="Comic Neue" w:eastAsia="Comic Neue"/>
          <w:b w:val="0"/>
          <w:i w:val="0"/>
          <w:color w:val="283A50"/>
          <w:sz w:val="19"/>
        </w:rPr>
        <w:t>If a page says retired, premium, or downloadable-only, use the alternative listed in the access note or return to the matching interactive lab above.</w:t>
      </w:r>
    </w:p>
    <w:p>
      <w:pPr>
        <w:pageBreakBefore/>
        <w:spacing w:before="0" w:after="20" w:line="240" w:lineRule="auto"/>
        <w:jc w:val="right"/>
      </w:pPr>
      <w:r>
        <w:rPr>
          <w:rFonts w:ascii="Comic Neue" w:hAnsi="Comic Neue" w:eastAsia="Comic Neue"/>
          <w:b/>
          <w:i/>
          <w:color w:val="688097"/>
          <w:sz w:val="15"/>
        </w:rPr>
        <w:t>COMMAND NOTEBOOK - COPY ONE LINE AT A TIME</w:t>
      </w:r>
    </w:p>
    <w:p>
      <w:pPr>
        <w:keepNext/>
        <w:spacing w:before="100" w:after="80" w:line="240" w:lineRule="auto"/>
      </w:pPr>
      <w:r>
        <w:rPr>
          <w:rFonts w:ascii="Comic Neue" w:hAnsi="Comic Neue" w:eastAsia="Comic Neue"/>
          <w:b/>
          <w:i/>
          <w:color w:val="087F8C"/>
          <w:sz w:val="34"/>
        </w:rPr>
        <w:t>Commands you can explain</w:t>
      </w:r>
    </w:p>
    <w:p>
      <w:pPr>
        <w:spacing w:before="0" w:after="80" w:line="240" w:lineRule="auto"/>
      </w:pPr>
      <w:r>
        <w:rPr>
          <w:rFonts w:ascii="Comic Neue" w:hAnsi="Comic Neue" w:eastAsia="Comic Neue"/>
          <w:b/>
          <w:i w:val="0"/>
          <w:color w:val="8B4E24"/>
          <w:sz w:val="19"/>
        </w:rPr>
        <w:t>The Nmap examples are scoped to loopback or the exact IP/hostname assigned in the official training room. No blanket permission is implied for public systems.</w:t>
      </w:r>
    </w:p>
    <w:p>
      <w:pPr>
        <w:spacing w:before="0" w:after="100" w:line="240" w:lineRule="auto"/>
      </w:pPr>
      <w:r>
        <w:rPr>
          <w:rFonts w:ascii="Comic Neue" w:hAnsi="Comic Neue" w:eastAsia="Comic Neue"/>
          <w:b w:val="0"/>
          <w:i/>
          <w:color w:val="5A6C7E"/>
          <w:sz w:val="18"/>
        </w:rPr>
        <w:t>First download the matching sample file(s) from the existing card when a command names one. Keep the data in a practice folder and never execute strings stored in evidence.</w:t>
      </w:r>
    </w:p>
    <w:p>
      <w:pPr>
        <w:keepNext/>
        <w:spacing w:before="60" w:after="0" w:line="240" w:lineRule="auto"/>
      </w:pPr>
      <w:r>
        <w:rPr>
          <w:rFonts w:ascii="Comic Neue" w:hAnsi="Comic Neue" w:eastAsia="Comic Neue"/>
          <w:b/>
          <w:i w:val="0"/>
          <w:color w:val="007B89"/>
          <w:sz w:val="16"/>
        </w:rPr>
        <w:t xml:space="preserve">LINUX BASICS 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08"/>
      </w:tblGrid>
      <w:tr>
        <w:tc>
          <w:tcPr>
            <w:tcW w:type="dxa" w:w="10108"/>
            <w:shd w:fill="EEF5FA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0" w:line="240" w:lineRule="auto"/>
            </w:pPr>
            <w:r>
              <w:rPr>
                <w:rFonts w:ascii="DejaVu Sans Mono" w:hAnsi="DejaVu Sans Mono" w:eastAsia="DejaVu Sans Mono"/>
                <w:b w:val="0"/>
                <w:i w:val="0"/>
                <w:color w:val="172E45"/>
                <w:sz w:val="16"/>
              </w:rPr>
              <w:t>pwd; ls -la; whoami; uname -a</w:t>
            </w:r>
          </w:p>
        </w:tc>
      </w:tr>
    </w:tbl>
    <w:p>
      <w:pPr>
        <w:spacing w:before="0" w:after="60" w:line="240" w:lineRule="auto"/>
      </w:pPr>
      <w:r>
        <w:rPr>
          <w:rFonts w:ascii="Comic Neue" w:hAnsi="Comic Neue" w:eastAsia="Comic Neue"/>
          <w:b w:val="0"/>
          <w:i/>
          <w:color w:val="5D6E80"/>
          <w:sz w:val="17"/>
        </w:rPr>
        <w:t>Show directory, files, current user, and OS details.</w:t>
      </w:r>
    </w:p>
    <w:p>
      <w:pPr>
        <w:keepNext/>
        <w:spacing w:before="60" w:after="0" w:line="240" w:lineRule="auto"/>
      </w:pPr>
      <w:r>
        <w:rPr>
          <w:rFonts w:ascii="Comic Neue" w:hAnsi="Comic Neue" w:eastAsia="Comic Neue"/>
          <w:b/>
          <w:i w:val="0"/>
          <w:color w:val="007B89"/>
          <w:sz w:val="16"/>
        </w:rPr>
        <w:t xml:space="preserve">LINUX LOG READING 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08"/>
      </w:tblGrid>
      <w:tr>
        <w:tc>
          <w:tcPr>
            <w:tcW w:type="dxa" w:w="10108"/>
            <w:shd w:fill="EEF5FA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0" w:line="240" w:lineRule="auto"/>
            </w:pPr>
            <w:r>
              <w:rPr>
                <w:rFonts w:ascii="DejaVu Sans Mono" w:hAnsi="DejaVu Sans Mono" w:eastAsia="DejaVu Sans Mono"/>
                <w:b w:val="0"/>
                <w:i w:val="0"/>
                <w:color w:val="172E45"/>
                <w:sz w:val="16"/>
              </w:rPr>
              <w:t>grep -inE "failed|denied|error" ./sample.log | head -n 20</w:t>
            </w:r>
          </w:p>
        </w:tc>
      </w:tr>
    </w:tbl>
    <w:p>
      <w:pPr>
        <w:spacing w:before="0" w:after="60" w:line="240" w:lineRule="auto"/>
      </w:pPr>
      <w:r>
        <w:rPr>
          <w:rFonts w:ascii="Comic Neue" w:hAnsi="Comic Neue" w:eastAsia="Comic Neue"/>
          <w:b w:val="0"/>
          <w:i/>
          <w:color w:val="5D6E80"/>
          <w:sz w:val="17"/>
        </w:rPr>
        <w:t>Filter a local training log; adjust keywords to the exercise.</w:t>
      </w:r>
    </w:p>
    <w:p>
      <w:pPr>
        <w:keepNext/>
        <w:spacing w:before="60" w:after="0" w:line="240" w:lineRule="auto"/>
      </w:pPr>
      <w:r>
        <w:rPr>
          <w:rFonts w:ascii="Comic Neue" w:hAnsi="Comic Neue" w:eastAsia="Comic Neue"/>
          <w:b/>
          <w:i w:val="0"/>
          <w:color w:val="007B89"/>
          <w:sz w:val="16"/>
        </w:rPr>
        <w:t xml:space="preserve">WINDOWS CMD 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08"/>
      </w:tblGrid>
      <w:tr>
        <w:tc>
          <w:tcPr>
            <w:tcW w:type="dxa" w:w="10108"/>
            <w:shd w:fill="EEF5FA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0" w:line="240" w:lineRule="auto"/>
            </w:pPr>
            <w:r>
              <w:rPr>
                <w:rFonts w:ascii="DejaVu Sans Mono" w:hAnsi="DejaVu Sans Mono" w:eastAsia="DejaVu Sans Mono"/>
                <w:b w:val="0"/>
                <w:i w:val="0"/>
                <w:color w:val="172E45"/>
                <w:sz w:val="16"/>
              </w:rPr>
              <w:t>whoami &amp; cd &amp; ipconfig /all</w:t>
            </w:r>
          </w:p>
        </w:tc>
      </w:tr>
    </w:tbl>
    <w:p>
      <w:pPr>
        <w:spacing w:before="0" w:after="60" w:line="240" w:lineRule="auto"/>
      </w:pPr>
      <w:r>
        <w:rPr>
          <w:rFonts w:ascii="Comic Neue" w:hAnsi="Comic Neue" w:eastAsia="Comic Neue"/>
          <w:b w:val="0"/>
          <w:i/>
          <w:color w:val="5D6E80"/>
          <w:sz w:val="17"/>
        </w:rPr>
        <w:t>Display user, current directory, and local network configuration on your own VM.</w:t>
      </w:r>
    </w:p>
    <w:p>
      <w:pPr>
        <w:keepNext/>
        <w:spacing w:before="60" w:after="0" w:line="240" w:lineRule="auto"/>
      </w:pPr>
      <w:r>
        <w:rPr>
          <w:rFonts w:ascii="Comic Neue" w:hAnsi="Comic Neue" w:eastAsia="Comic Neue"/>
          <w:b/>
          <w:i w:val="0"/>
          <w:color w:val="007B89"/>
          <w:sz w:val="16"/>
        </w:rPr>
        <w:t xml:space="preserve">POWERSHELL / OS 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08"/>
      </w:tblGrid>
      <w:tr>
        <w:tc>
          <w:tcPr>
            <w:tcW w:type="dxa" w:w="10108"/>
            <w:shd w:fill="EEF5FA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0" w:line="240" w:lineRule="auto"/>
            </w:pPr>
            <w:r>
              <w:rPr>
                <w:rFonts w:ascii="DejaVu Sans Mono" w:hAnsi="DejaVu Sans Mono" w:eastAsia="DejaVu Sans Mono"/>
                <w:b w:val="0"/>
                <w:i w:val="0"/>
                <w:color w:val="172E45"/>
                <w:sz w:val="16"/>
              </w:rPr>
              <w:t>Get-ComputerInfo | Select-Object WindowsProductName,WindowsVersion,OsArchitecture</w:t>
            </w:r>
          </w:p>
        </w:tc>
      </w:tr>
    </w:tbl>
    <w:p>
      <w:pPr>
        <w:spacing w:before="0" w:after="60" w:line="240" w:lineRule="auto"/>
      </w:pPr>
      <w:r>
        <w:rPr>
          <w:rFonts w:ascii="Comic Neue" w:hAnsi="Comic Neue" w:eastAsia="Comic Neue"/>
          <w:b w:val="0"/>
          <w:i/>
          <w:color w:val="5D6E80"/>
          <w:sz w:val="17"/>
        </w:rPr>
        <w:t>Display OS information; no settings are changed.</w:t>
      </w:r>
    </w:p>
    <w:p>
      <w:pPr>
        <w:keepNext/>
        <w:spacing w:before="60" w:after="0" w:line="240" w:lineRule="auto"/>
      </w:pPr>
      <w:r>
        <w:rPr>
          <w:rFonts w:ascii="Comic Neue" w:hAnsi="Comic Neue" w:eastAsia="Comic Neue"/>
          <w:b/>
          <w:i w:val="0"/>
          <w:color w:val="007B89"/>
          <w:sz w:val="16"/>
        </w:rPr>
        <w:t xml:space="preserve">POWERSHELL / DNS 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08"/>
      </w:tblGrid>
      <w:tr>
        <w:tc>
          <w:tcPr>
            <w:tcW w:type="dxa" w:w="10108"/>
            <w:shd w:fill="EEF5FA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0" w:line="240" w:lineRule="auto"/>
            </w:pPr>
            <w:r>
              <w:rPr>
                <w:rFonts w:ascii="DejaVu Sans Mono" w:hAnsi="DejaVu Sans Mono" w:eastAsia="DejaVu Sans Mono"/>
                <w:b w:val="0"/>
                <w:i w:val="0"/>
                <w:color w:val="172E45"/>
                <w:sz w:val="16"/>
              </w:rPr>
              <w:t>Resolve-DnsName example.com</w:t>
            </w:r>
          </w:p>
        </w:tc>
      </w:tr>
    </w:tbl>
    <w:p>
      <w:pPr>
        <w:spacing w:before="0" w:after="60" w:line="240" w:lineRule="auto"/>
      </w:pPr>
      <w:r>
        <w:rPr>
          <w:rFonts w:ascii="Comic Neue" w:hAnsi="Comic Neue" w:eastAsia="Comic Neue"/>
          <w:b w:val="0"/>
          <w:i/>
          <w:color w:val="5D6E80"/>
          <w:sz w:val="17"/>
        </w:rPr>
        <w:t>Demonstrate a simple DNS lookup. Use only queries appropriate to the course and network rules.</w:t>
      </w:r>
    </w:p>
    <w:p>
      <w:pPr>
        <w:keepNext/>
        <w:spacing w:before="60" w:after="0" w:line="240" w:lineRule="auto"/>
      </w:pPr>
      <w:r>
        <w:rPr>
          <w:rFonts w:ascii="Comic Neue" w:hAnsi="Comic Neue" w:eastAsia="Comic Neue"/>
          <w:b/>
          <w:i w:val="0"/>
          <w:color w:val="007B89"/>
          <w:sz w:val="16"/>
        </w:rPr>
        <w:t xml:space="preserve">NMAP / LOCALHOST ONLY 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08"/>
      </w:tblGrid>
      <w:tr>
        <w:tc>
          <w:tcPr>
            <w:tcW w:type="dxa" w:w="10108"/>
            <w:shd w:fill="EEF5FA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0" w:line="240" w:lineRule="auto"/>
            </w:pPr>
            <w:r>
              <w:rPr>
                <w:rFonts w:ascii="DejaVu Sans Mono" w:hAnsi="DejaVu Sans Mono" w:eastAsia="DejaVu Sans Mono"/>
                <w:b w:val="0"/>
                <w:i w:val="0"/>
                <w:color w:val="172E45"/>
                <w:sz w:val="16"/>
              </w:rPr>
              <w:t>nmap -sT -Pn --top-ports 20 127.0.0.1</w:t>
            </w:r>
          </w:p>
        </w:tc>
      </w:tr>
    </w:tbl>
    <w:p>
      <w:pPr>
        <w:spacing w:before="0" w:after="60" w:line="240" w:lineRule="auto"/>
      </w:pPr>
      <w:r>
        <w:rPr>
          <w:rFonts w:ascii="Comic Neue" w:hAnsi="Comic Neue" w:eastAsia="Comic Neue"/>
          <w:b w:val="0"/>
          <w:i/>
          <w:color w:val="5D6E80"/>
          <w:sz w:val="17"/>
        </w:rPr>
        <w:t>A basic TCP scan of your own loopback interface. For hosted labs, scan only the IP/hostname assigned by that lab.</w:t>
      </w:r>
    </w:p>
    <w:p>
      <w:pPr>
        <w:keepNext/>
        <w:spacing w:before="60" w:after="0" w:line="240" w:lineRule="auto"/>
      </w:pPr>
      <w:r>
        <w:rPr>
          <w:rFonts w:ascii="Comic Neue" w:hAnsi="Comic Neue" w:eastAsia="Comic Neue"/>
          <w:b/>
          <w:i w:val="0"/>
          <w:color w:val="007B89"/>
          <w:sz w:val="16"/>
        </w:rPr>
        <w:t xml:space="preserve">NMAP / LAB-ASSIGNED TARGET 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08"/>
      </w:tblGrid>
      <w:tr>
        <w:tc>
          <w:tcPr>
            <w:tcW w:type="dxa" w:w="10108"/>
            <w:shd w:fill="EEF5FA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0" w:line="240" w:lineRule="auto"/>
            </w:pPr>
            <w:r>
              <w:rPr>
                <w:rFonts w:ascii="DejaVu Sans Mono" w:hAnsi="DejaVu Sans Mono" w:eastAsia="DejaVu Sans Mono"/>
                <w:b w:val="0"/>
                <w:i w:val="0"/>
                <w:color w:val="172E45"/>
                <w:sz w:val="16"/>
              </w:rPr>
              <w:t>nmap -sT -Pn -p 22,80,443 "$LAB_TARGET"</w:t>
            </w:r>
          </w:p>
        </w:tc>
      </w:tr>
    </w:tbl>
    <w:p>
      <w:pPr>
        <w:spacing w:before="0" w:after="60" w:line="240" w:lineRule="auto"/>
      </w:pPr>
      <w:r>
        <w:rPr>
          <w:rFonts w:ascii="Comic Neue" w:hAnsi="Comic Neue" w:eastAsia="Comic Neue"/>
          <w:b w:val="0"/>
          <w:i/>
          <w:color w:val="5D6E80"/>
          <w:sz w:val="17"/>
        </w:rPr>
        <w:t>Replace LAB_TARGET only with the address explicitly provided by the training room; do not substitute a public or third-party address.</w:t>
      </w:r>
    </w:p>
    <w:p>
      <w:pPr>
        <w:keepNext/>
        <w:spacing w:before="60" w:after="0" w:line="240" w:lineRule="auto"/>
      </w:pPr>
      <w:r>
        <w:rPr>
          <w:rFonts w:ascii="Comic Neue" w:hAnsi="Comic Neue" w:eastAsia="Comic Neue"/>
          <w:b/>
          <w:i w:val="0"/>
          <w:color w:val="007B89"/>
          <w:sz w:val="16"/>
        </w:rPr>
        <w:t xml:space="preserve">OWASP JUICE SHOP / OBTAIN SOURCE 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08"/>
      </w:tblGrid>
      <w:tr>
        <w:tc>
          <w:tcPr>
            <w:tcW w:type="dxa" w:w="10108"/>
            <w:shd w:fill="EEF5FA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0" w:line="240" w:lineRule="auto"/>
            </w:pPr>
            <w:r>
              <w:rPr>
                <w:rFonts w:ascii="DejaVu Sans Mono" w:hAnsi="DejaVu Sans Mono" w:eastAsia="DejaVu Sans Mono"/>
                <w:b w:val="0"/>
                <w:i w:val="0"/>
                <w:color w:val="172E45"/>
                <w:sz w:val="16"/>
              </w:rPr>
              <w:t>git clone --depth 1 https://github.com/juice-shop/juice-shop.git</w:t>
            </w:r>
          </w:p>
        </w:tc>
      </w:tr>
    </w:tbl>
    <w:p>
      <w:pPr>
        <w:spacing w:before="0" w:after="60" w:line="240" w:lineRule="auto"/>
      </w:pPr>
      <w:r>
        <w:rPr>
          <w:rFonts w:ascii="Comic Neue" w:hAnsi="Comic Neue" w:eastAsia="Comic Neue"/>
          <w:b w:val="0"/>
          <w:i/>
          <w:color w:val="5D6E80"/>
          <w:sz w:val="17"/>
        </w:rPr>
        <w:t>Fetch the official open-source training app source into your current directory. This operation is not a scan.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108"/>
      </w:tblGrid>
      <w:tr>
        <w:tc>
          <w:tcPr>
            <w:tcW w:type="dxa" w:w="10108"/>
            <w:shd w:fill="E4F0FF"/>
            <w:tcMar>
              <w:top w:w="90" w:type="dxa"/>
              <w:start w:w="150" w:type="dxa"/>
              <w:bottom w:w="90" w:type="dxa"/>
              <w:end w:w="150" w:type="dxa"/>
            </w:tcMar>
          </w:tcPr>
          <w:p>
            <w:pPr>
              <w:spacing w:before="0" w:after="0" w:line="240" w:lineRule="auto"/>
            </w:pPr>
            <w:r>
              <w:rPr>
                <w:rFonts w:ascii="Comic Neue" w:hAnsi="Comic Neue" w:eastAsia="Comic Neue"/>
                <w:b/>
                <w:i/>
                <w:color w:val="275D9B"/>
                <w:sz w:val="18"/>
              </w:rPr>
              <w:t xml:space="preserve">COMMAND HABIT  </w:t>
            </w:r>
            <w:r>
              <w:rPr>
                <w:rFonts w:ascii="Comic Neue" w:hAnsi="Comic Neue" w:eastAsia="Comic Neue"/>
                <w:b w:val="0"/>
                <w:i w:val="0"/>
                <w:color w:val="2F3E50"/>
                <w:sz w:val="18"/>
              </w:rPr>
              <w:t>Check the current working directory, shell, target, and expected effect before pressing Enter. Save the exact command and the output that mattered.</w:t>
            </w:r>
          </w:p>
        </w:tc>
      </w:tr>
    </w:tbl>
    <w:p>
      <w:pPr>
        <w:spacing w:after="0"/>
      </w:pPr>
    </w:p>
    <w:p>
      <w:pPr>
        <w:pageBreakBefore/>
        <w:spacing w:before="0" w:after="20" w:line="240" w:lineRule="auto"/>
        <w:jc w:val="right"/>
      </w:pPr>
      <w:r>
        <w:rPr>
          <w:rFonts w:ascii="Comic Neue" w:hAnsi="Comic Neue" w:eastAsia="Comic Neue"/>
          <w:b/>
          <w:i/>
          <w:color w:val="688097"/>
          <w:sz w:val="15"/>
        </w:rPr>
        <w:t>RUN THE EXERCISE - RECORD WHAT THE EVIDENCE REALLY SHOWS</w:t>
      </w:r>
    </w:p>
    <w:p>
      <w:pPr>
        <w:keepNext/>
        <w:spacing w:before="100" w:after="80" w:line="240" w:lineRule="auto"/>
      </w:pPr>
      <w:r>
        <w:rPr>
          <w:rFonts w:ascii="Comic Neue" w:hAnsi="Comic Neue" w:eastAsia="Comic Neue"/>
          <w:b/>
          <w:i/>
          <w:color w:val="087F8C"/>
          <w:sz w:val="34"/>
        </w:rPr>
        <w:t>Guided lab run</w:t>
      </w:r>
    </w:p>
    <w:p>
      <w:pPr>
        <w:pStyle w:val="ListBullet"/>
        <w:spacing w:before="0" w:after="40" w:line="240" w:lineRule="auto"/>
      </w:pPr>
      <w:r>
        <w:rPr>
          <w:rFonts w:ascii="Comic Neue" w:hAnsi="Comic Neue" w:eastAsia="Comic Neue"/>
          <w:b w:val="0"/>
          <w:i w:val="0"/>
          <w:color w:val="283A50"/>
          <w:sz w:val="19"/>
        </w:rPr>
        <w:t>1. Choose the right shell: Bash for Linux, cmd.exe for Windows CMD, or PowerShell for Windows scripting.</w:t>
      </w:r>
    </w:p>
    <w:p>
      <w:pPr>
        <w:pStyle w:val="ListBullet"/>
        <w:spacing w:before="0" w:after="40" w:line="240" w:lineRule="auto"/>
      </w:pPr>
      <w:r>
        <w:rPr>
          <w:rFonts w:ascii="Comic Neue" w:hAnsi="Comic Neue" w:eastAsia="Comic Neue"/>
          <w:b w:val="0"/>
          <w:i w:val="0"/>
          <w:color w:val="283A50"/>
          <w:sz w:val="19"/>
        </w:rPr>
        <w:t>2. Copy one command at a time; check the current directory and target before running it.</w:t>
      </w:r>
    </w:p>
    <w:p>
      <w:pPr>
        <w:pStyle w:val="ListBullet"/>
        <w:spacing w:before="0" w:after="40" w:line="240" w:lineRule="auto"/>
      </w:pPr>
      <w:r>
        <w:rPr>
          <w:rFonts w:ascii="Comic Neue" w:hAnsi="Comic Neue" w:eastAsia="Comic Neue"/>
          <w:b w:val="0"/>
          <w:i w:val="0"/>
          <w:color w:val="283A50"/>
          <w:sz w:val="19"/>
        </w:rPr>
        <w:t>3. Prefer local sample files and 127.0.0.1 before using a hosted target.</w:t>
      </w:r>
    </w:p>
    <w:p>
      <w:pPr>
        <w:pStyle w:val="ListBullet"/>
        <w:spacing w:before="0" w:after="40" w:line="240" w:lineRule="auto"/>
      </w:pPr>
      <w:r>
        <w:rPr>
          <w:rFonts w:ascii="Comic Neue" w:hAnsi="Comic Neue" w:eastAsia="Comic Neue"/>
          <w:b w:val="0"/>
          <w:i w:val="0"/>
          <w:color w:val="283A50"/>
          <w:sz w:val="19"/>
        </w:rPr>
        <w:t>4. For scanning, use the exact range written in the course’s scope; keep a copy of that scope in your notes.</w:t>
      </w:r>
    </w:p>
    <w:p>
      <w:pPr>
        <w:pStyle w:val="ListBullet"/>
        <w:spacing w:before="0" w:after="40" w:line="240" w:lineRule="auto"/>
      </w:pPr>
      <w:r>
        <w:rPr>
          <w:rFonts w:ascii="Comic Neue" w:hAnsi="Comic Neue" w:eastAsia="Comic Neue"/>
          <w:b w:val="0"/>
          <w:i w:val="0"/>
          <w:color w:val="283A50"/>
          <w:sz w:val="19"/>
        </w:rPr>
        <w:t>5. Record what a command does and what output would change your next decision.</w:t>
      </w:r>
    </w:p>
    <w:p>
      <w:pPr>
        <w:keepNext/>
        <w:spacing w:before="40" w:after="80" w:line="240" w:lineRule="auto"/>
      </w:pPr>
      <w:r>
        <w:rPr>
          <w:rFonts w:ascii="Comic Neue" w:hAnsi="Comic Neue" w:eastAsia="Comic Neue"/>
          <w:b/>
          <w:i/>
          <w:color w:val="B34778"/>
          <w:sz w:val="25"/>
        </w:rPr>
        <w:t>Evidence checklist</w:t>
      </w:r>
    </w:p>
    <w:p>
      <w:pPr>
        <w:pStyle w:val="ListBullet"/>
        <w:spacing w:before="0" w:after="40" w:line="240" w:lineRule="auto"/>
      </w:pPr>
      <w:r>
        <w:rPr>
          <w:rFonts w:ascii="Comic Neue" w:hAnsi="Comic Neue" w:eastAsia="Comic Neue"/>
          <w:b w:val="0"/>
          <w:i w:val="0"/>
          <w:color w:val="283A50"/>
          <w:sz w:val="19"/>
        </w:rPr>
        <w:t>[ ] What exact lab instance or sample file was used?</w:t>
      </w:r>
    </w:p>
    <w:p>
      <w:pPr>
        <w:pStyle w:val="ListBullet"/>
        <w:spacing w:before="0" w:after="40" w:line="240" w:lineRule="auto"/>
      </w:pPr>
      <w:r>
        <w:rPr>
          <w:rFonts w:ascii="Comic Neue" w:hAnsi="Comic Neue" w:eastAsia="Comic Neue"/>
          <w:b w:val="0"/>
          <w:i w:val="0"/>
          <w:color w:val="283A50"/>
          <w:sz w:val="19"/>
        </w:rPr>
        <w:t>[ ] Which command/query and time range produced the observation?</w:t>
      </w:r>
    </w:p>
    <w:p>
      <w:pPr>
        <w:pStyle w:val="ListBullet"/>
        <w:spacing w:before="0" w:after="40" w:line="240" w:lineRule="auto"/>
      </w:pPr>
      <w:r>
        <w:rPr>
          <w:rFonts w:ascii="Comic Neue" w:hAnsi="Comic Neue" w:eastAsia="Comic Neue"/>
          <w:b w:val="0"/>
          <w:i w:val="0"/>
          <w:color w:val="283A50"/>
          <w:sz w:val="19"/>
        </w:rPr>
        <w:t>[ ] What is the directly observed fact, separate from your inference?</w:t>
      </w:r>
    </w:p>
    <w:p>
      <w:pPr>
        <w:pStyle w:val="ListBullet"/>
        <w:spacing w:before="0" w:after="40" w:line="240" w:lineRule="auto"/>
      </w:pPr>
      <w:r>
        <w:rPr>
          <w:rFonts w:ascii="Comic Neue" w:hAnsi="Comic Neue" w:eastAsia="Comic Neue"/>
          <w:b w:val="0"/>
          <w:i w:val="0"/>
          <w:color w:val="283A50"/>
          <w:sz w:val="19"/>
        </w:rPr>
        <w:t>[ ] What benign/alternative explanation could fit?</w:t>
      </w:r>
    </w:p>
    <w:p>
      <w:pPr>
        <w:pStyle w:val="ListBullet"/>
        <w:spacing w:before="0" w:after="40" w:line="240" w:lineRule="auto"/>
      </w:pPr>
      <w:r>
        <w:rPr>
          <w:rFonts w:ascii="Comic Neue" w:hAnsi="Comic Neue" w:eastAsia="Comic Neue"/>
          <w:b w:val="0"/>
          <w:i w:val="0"/>
          <w:color w:val="283A50"/>
          <w:sz w:val="19"/>
        </w:rPr>
        <w:t>[ ] What extra record or control would help confirm the conclusion?</w:t>
      </w:r>
    </w:p>
    <w:p>
      <w:pPr>
        <w:keepNext/>
        <w:spacing w:before="40" w:after="80" w:line="240" w:lineRule="auto"/>
      </w:pPr>
      <w:r>
        <w:rPr>
          <w:rFonts w:ascii="Comic Neue" w:hAnsi="Comic Neue" w:eastAsia="Comic Neue"/>
          <w:b/>
          <w:i/>
          <w:color w:val="B34778"/>
          <w:sz w:val="25"/>
        </w:rPr>
        <w:t>Check your understanding</w:t>
      </w:r>
    </w:p>
    <w:p>
      <w:pPr>
        <w:keepNext/>
        <w:spacing w:before="40" w:after="20" w:line="240" w:lineRule="auto"/>
      </w:pPr>
      <w:r>
        <w:rPr>
          <w:rFonts w:ascii="Comic Neue" w:hAnsi="Comic Neue" w:eastAsia="Comic Neue"/>
          <w:b/>
          <w:i/>
          <w:color w:val="B34778"/>
          <w:sz w:val="19"/>
        </w:rPr>
        <w:t>Q  What is the difference between `ipconfig` and `nmap`?</w:t>
      </w:r>
    </w:p>
    <w:p>
      <w:pPr>
        <w:spacing w:before="0" w:after="60" w:line="240" w:lineRule="auto"/>
      </w:pPr>
      <w:r>
        <w:rPr>
          <w:rFonts w:ascii="Comic Neue" w:hAnsi="Comic Neue" w:eastAsia="Comic Neue"/>
          <w:b w:val="0"/>
          <w:i w:val="0"/>
          <w:color w:val="263D52"/>
          <w:sz w:val="18"/>
        </w:rPr>
        <w:t>Think it through: ipconfig displays the local Windows network configuration; nmap sends probes to the specified target.</w:t>
      </w:r>
    </w:p>
    <w:p>
      <w:pPr>
        <w:keepNext/>
        <w:spacing w:before="40" w:after="20" w:line="240" w:lineRule="auto"/>
      </w:pPr>
      <w:r>
        <w:rPr>
          <w:rFonts w:ascii="Comic Neue" w:hAnsi="Comic Neue" w:eastAsia="Comic Neue"/>
          <w:b/>
          <w:i/>
          <w:color w:val="B34778"/>
          <w:sz w:val="19"/>
        </w:rPr>
        <w:t>Q  Can `nmap -sV` be used against any public IP?</w:t>
      </w:r>
    </w:p>
    <w:p>
      <w:pPr>
        <w:spacing w:before="0" w:after="60" w:line="240" w:lineRule="auto"/>
      </w:pPr>
      <w:r>
        <w:rPr>
          <w:rFonts w:ascii="Comic Neue" w:hAnsi="Comic Neue" w:eastAsia="Comic Neue"/>
          <w:b w:val="0"/>
          <w:i w:val="0"/>
          <w:color w:val="263D52"/>
          <w:sz w:val="18"/>
        </w:rPr>
        <w:t>Think it through: No. Scan only localhost, your own network with permission, or a target explicitly in scope for the lab.</w:t>
      </w:r>
    </w:p>
    <w:p>
      <w:pPr>
        <w:keepNext/>
        <w:spacing w:before="40" w:after="20" w:line="240" w:lineRule="auto"/>
      </w:pPr>
      <w:r>
        <w:rPr>
          <w:rFonts w:ascii="Comic Neue" w:hAnsi="Comic Neue" w:eastAsia="Comic Neue"/>
          <w:b/>
          <w:i/>
          <w:color w:val="B34778"/>
          <w:sz w:val="19"/>
        </w:rPr>
        <w:t>Q  Why is `git clone` not the same as scanning the Git host?</w:t>
      </w:r>
    </w:p>
    <w:p>
      <w:pPr>
        <w:spacing w:before="0" w:after="60" w:line="240" w:lineRule="auto"/>
      </w:pPr>
      <w:r>
        <w:rPr>
          <w:rFonts w:ascii="Comic Neue" w:hAnsi="Comic Neue" w:eastAsia="Comic Neue"/>
          <w:b w:val="0"/>
          <w:i w:val="0"/>
          <w:color w:val="263D52"/>
          <w:sz w:val="18"/>
        </w:rPr>
        <w:t>Think it through: It requests repository data from the specified remote; it does not probe the repository host’s ports or services.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108"/>
      </w:tblGrid>
      <w:tr>
        <w:tc>
          <w:tcPr>
            <w:tcW w:type="dxa" w:w="10108"/>
            <w:shd w:fill="FFF1C9"/>
            <w:tcMar>
              <w:top w:w="90" w:type="dxa"/>
              <w:start w:w="150" w:type="dxa"/>
              <w:bottom w:w="90" w:type="dxa"/>
              <w:end w:w="150" w:type="dxa"/>
            </w:tcMar>
          </w:tcPr>
          <w:p>
            <w:pPr>
              <w:spacing w:before="0" w:after="0" w:line="240" w:lineRule="auto"/>
            </w:pPr>
            <w:r>
              <w:rPr>
                <w:rFonts w:ascii="Comic Neue" w:hAnsi="Comic Neue" w:eastAsia="Comic Neue"/>
                <w:b/>
                <w:i/>
                <w:color w:val="8A5A00"/>
                <w:sz w:val="18"/>
              </w:rPr>
              <w:t xml:space="preserve">NOTEBOOK CLOSE-OUT  </w:t>
            </w:r>
            <w:r>
              <w:rPr>
                <w:rFonts w:ascii="Comic Neue" w:hAnsi="Comic Neue" w:eastAsia="Comic Neue"/>
                <w:b w:val="0"/>
                <w:i w:val="0"/>
                <w:color w:val="2F3E50"/>
                <w:sz w:val="18"/>
              </w:rPr>
              <w:t>Finish with: Observation / Evidence source / Why it matters / Alternative explanation / Next check / Limitation. A careful “not enough evidence yet” is a valid professional result.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893" w:right="1066" w:bottom="893" w:left="106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 w:eastAsia="Aptos"/>
        <w:b w:val="0"/>
        <w:i w:val="0"/>
        <w:color w:val="71828C"/>
        <w:sz w:val="15"/>
      </w:rPr>
      <w:t>Learn openly • Practise only in authorised environments • No job or reward guarantee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 w:eastAsia="Aptos"/>
        <w:b/>
        <w:i w:val="0"/>
        <w:color w:val="71828C"/>
        <w:sz w:val="15"/>
      </w:rPr>
      <w:t>OPENCYBERPATH  /  OPEN LEARNING NOTES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9" w:lineRule="auto"/>
    </w:pPr>
    <w:rPr>
      <w:rFonts w:ascii="Comic Neue" w:hAnsi="Comic Neue" w:eastAsia="Comic Neue"/>
      <w:color w:val="1D4C8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60"/>
      <w:outlineLvl w:val="0"/>
    </w:pPr>
    <w:rPr>
      <w:rFonts w:asciiTheme="majorHAnsi" w:eastAsiaTheme="majorEastAsia" w:hAnsiTheme="majorHAnsi" w:cstheme="majorBidi" w:ascii="Comic Neue" w:hAnsi="Comic Neue" w:eastAsia="Comic Neue"/>
      <w:b/>
      <w:bCs/>
      <w:color w:val="1D4C8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Comic Neue" w:hAnsi="Comic Neue" w:eastAsia="Comic Neue"/>
      <w:b/>
      <w:bCs/>
      <w:color w:val="1D4C83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Comic Neue" w:hAnsi="Comic Neue" w:eastAsia="Comic Neue"/>
      <w:b/>
      <w:bCs/>
      <w:color w:val="1D4C83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60" w:line="240" w:lineRule="auto" w:before="120"/>
      <w:contextualSpacing/>
    </w:pPr>
    <w:rPr>
      <w:rFonts w:asciiTheme="majorHAnsi" w:eastAsiaTheme="majorEastAsia" w:hAnsiTheme="majorHAnsi" w:cstheme="majorBidi" w:ascii="Comic Neue" w:hAnsi="Comic Neue" w:eastAsia="Comic Neue"/>
      <w:b/>
      <w:color w:val="1D4C83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tryhackme.com/room/windowscommandline" TargetMode="External"/><Relationship Id="rId12" Type="http://schemas.openxmlformats.org/officeDocument/2006/relationships/hyperlink" Target="https://tryhackme.com/room/windowspowershell" TargetMode="External"/><Relationship Id="rId13" Type="http://schemas.openxmlformats.org/officeDocument/2006/relationships/hyperlink" Target="https://overthewire.org/wargames/bandit/bandit0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Cybersecurity Command Cheatsheet</dc:title>
  <dc:subject>Expanded lab companion pages with exact provider links, scoped commands, steps, and checks.</dc:subject>
  <dc:creator>OpenCyberPath community contributors</dc:creator>
  <cp:keywords>OpenCyberPath, hands-on lab, cybersecurity notes, authorized training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