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85C50"/>
          <w:sz w:val="16"/>
        </w:rPr>
        <w:t>PATH 03  •  DIGITAL FORENSICS AND INCIDENT RESPONSE</w:t>
      </w:r>
    </w:p>
    <w:p>
      <w:pPr>
        <w:pStyle w:val="Title"/>
      </w:pPr>
      <w:r>
        <w:t>DFIR Evidence Register &amp; Timeline</w:t>
      </w:r>
    </w:p>
    <w:p>
      <w:pPr>
        <w:spacing w:after="200"/>
      </w:pPr>
      <w:r>
        <w:t>Use this workbook to learn a repeatable method. Write what you observed separately from what you infer; never present fictional sample data as a real incident or production assessment.</w:t>
      </w:r>
    </w:p>
    <w:p>
      <w:pPr>
        <w:pStyle w:val="Heading1"/>
      </w:pPr>
      <w:r>
        <w:t>1. Establish scope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D85C50"/>
              </w:rPr>
              <w:t xml:space="preserve">SAFETY BOUNDARY  </w:t>
            </w:r>
            <w:r>
              <w:t>This lab uses fictional records and a hypothetical case. Do not acquire, inspect, alter, or upload someone else’s files or devices. Work only with supplied evidence or material you are explicitly authorised to handle.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Case field</w:t>
            </w:r>
          </w:p>
        </w:tc>
        <w:tc>
          <w:tcPr>
            <w:tcW w:type="dxa" w:w="5112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Learner entry</w:t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Case ID / purpose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Authorised scope and exclusions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Time window and time zone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Evidence source / supplied filename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Analyst and review date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Known constraints or missing data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2. Evidence register</w:t>
      </w:r>
    </w:p>
    <w:p>
      <w:r>
        <w:t>Record provenance before interpretation. Use one row per evidence item; preserve supplied source files and describe any working copy or transformation.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2556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Source / reference</w:t>
            </w:r>
          </w:p>
        </w:tc>
        <w:tc>
          <w:tcPr>
            <w:tcW w:type="dxa" w:w="2556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Collected / received (UTC)</w:t>
            </w:r>
          </w:p>
        </w:tc>
        <w:tc>
          <w:tcPr>
            <w:tcW w:type="dxa" w:w="2556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Integrity / handling note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EV-001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EV-002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EV-003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  <w:t>EV-004</w:t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pStyle w:val="Heading2"/>
      </w:pPr>
      <w:r>
        <w:t>Handling checklist</w:t>
      </w:r>
    </w:p>
    <w:p>
      <w:pPr>
        <w:spacing w:after="60"/>
        <w:ind w:left="173"/>
      </w:pPr>
      <w:r>
        <w:rPr>
          <w:b/>
          <w:color w:val="268F82"/>
        </w:rPr>
        <w:t xml:space="preserve">☐  </w:t>
      </w:r>
      <w:r>
        <w:t>Scope and authority are recorded before analysis.</w:t>
      </w:r>
    </w:p>
    <w:p>
      <w:pPr>
        <w:spacing w:after="60"/>
        <w:ind w:left="173"/>
      </w:pPr>
      <w:r>
        <w:rPr>
          <w:b/>
          <w:color w:val="268F82"/>
        </w:rPr>
        <w:t xml:space="preserve">☐  </w:t>
      </w:r>
      <w:r>
        <w:t>Original supplied files are preserved; analysis notes identify the copy used.</w:t>
      </w:r>
    </w:p>
    <w:p>
      <w:pPr>
        <w:spacing w:after="60"/>
        <w:ind w:left="173"/>
      </w:pPr>
      <w:r>
        <w:rPr>
          <w:b/>
          <w:color w:val="268F82"/>
        </w:rPr>
        <w:t xml:space="preserve">☐  </w:t>
      </w:r>
      <w:r>
        <w:t>Sensitive identifiers are redacted before sharing.</w:t>
      </w:r>
    </w:p>
    <w:p>
      <w:pPr>
        <w:spacing w:after="60"/>
        <w:ind w:left="173"/>
      </w:pPr>
      <w:r>
        <w:rPr>
          <w:b/>
          <w:color w:val="268F82"/>
        </w:rPr>
        <w:t xml:space="preserve">☐  </w:t>
      </w:r>
      <w:r>
        <w:t>Time zone and any clock uncertainty are recorded.</w:t>
      </w:r>
    </w:p>
    <w:p>
      <w:r>
        <w:br w:type="page"/>
      </w:r>
    </w:p>
    <w:p>
      <w:pPr>
        <w:pStyle w:val="Heading1"/>
      </w:pPr>
      <w:r>
        <w:t>3. Build a defensible timeline</w:t>
      </w:r>
    </w:p>
    <w:p>
      <w:r>
        <w:t>Use UTC when possible. Keep the original timestamp and record any normalisation. A timestamp match alone does not prove two events share a cause.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Time (UTC)</w:t>
            </w:r>
          </w:p>
        </w:tc>
        <w:tc>
          <w:tcPr>
            <w:tcW w:type="dxa" w:w="2045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Evidence ID / source</w:t>
            </w:r>
          </w:p>
        </w:tc>
        <w:tc>
          <w:tcPr>
            <w:tcW w:type="dxa" w:w="2045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Observed fact</w:t>
            </w:r>
          </w:p>
        </w:tc>
        <w:tc>
          <w:tcPr>
            <w:tcW w:type="dxa" w:w="2045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Possible interpretation</w:t>
            </w:r>
          </w:p>
        </w:tc>
        <w:tc>
          <w:tcPr>
            <w:tcW w:type="dxa" w:w="2045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Unknown / next question</w:t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04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4. Separate facts from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Observed fact (with source)</w:t>
            </w:r>
          </w:p>
        </w:tc>
        <w:tc>
          <w:tcPr>
            <w:tcW w:type="dxa" w:w="2556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Hypothesis / explanation</w:t>
            </w:r>
          </w:p>
        </w:tc>
        <w:tc>
          <w:tcPr>
            <w:tcW w:type="dxa" w:w="2556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Confidence and reason</w:t>
            </w:r>
          </w:p>
        </w:tc>
        <w:tc>
          <w:tcPr>
            <w:tcW w:type="dxa" w:w="2556"/>
            <w:shd w:fill="D85C5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b/>
                <w:color w:val="FFFFFF"/>
                <w:sz w:val="16"/>
              </w:rPr>
              <w:t>Evidence needed to verify</w:t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  <w:tc>
          <w:tcPr>
            <w:tcW w:type="dxa" w:w="25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5. Close with an honest summary</w:t>
      </w:r>
    </w:p>
    <w:p>
      <w:pPr>
        <w:spacing w:before="100"/>
      </w:pPr>
      <w:r>
        <w:rPr>
          <w:b/>
          <w:color w:val="13243A"/>
        </w:rPr>
        <w:t>What is supported by the supplied evidence?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p>
      <w:pPr>
        <w:spacing w:before="100"/>
      </w:pPr>
      <w:r>
        <w:rPr>
          <w:b/>
          <w:color w:val="13243A"/>
        </w:rPr>
        <w:t>What remains unknown or ambiguous?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p>
      <w:pPr>
        <w:spacing w:before="100"/>
      </w:pPr>
      <w:r>
        <w:rPr>
          <w:b/>
          <w:color w:val="13243A"/>
        </w:rPr>
        <w:t>What safe next check would reduce uncertainty?</w:t>
      </w:r>
    </w:p>
    <w:p>
      <w:pPr>
        <w:spacing w:after="40"/>
      </w:pPr>
      <w:r>
        <w:rPr>
          <w:color w:val="CBD5E1"/>
          <w:sz w:val="16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E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D85C50"/>
              </w:rPr>
              <w:t xml:space="preserve">QUALITY CHECK  </w:t>
            </w:r>
            <w:r>
              <w:t>Can another learner trace every conclusion back to a source row? If not, add the missing reference or weaken the claim.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OPENCYBERPATH FIELD NOTEBOOK - MATCHED EXTERNAL PRACTICE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A real lab for these notes</w:t>
      </w:r>
    </w:p>
    <w:p>
      <w:pPr>
        <w:spacing w:before="0" w:after="80" w:line="240" w:lineRule="auto"/>
      </w:pPr>
      <w:r>
        <w:rPr>
          <w:rFonts w:ascii="Comic Neue" w:hAnsi="Comic Neue" w:eastAsia="Comic Neue"/>
          <w:b w:val="0"/>
          <w:i w:val="0"/>
          <w:color w:val="24344D"/>
          <w:sz w:val="20"/>
        </w:rPr>
        <w:t>Topic: Evidence preservation, file integrity, timeline reconstruction, and careful reporting. These pages connect the existing OpenCyberPath notes to specific provider-hosted exercises. The card label is intentionally generic; the exact task name and direct URL are listed here so you can open the right exercise instead of a whole catalogue.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Concept checkpoints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Preserve original evidence; analyze a verified copy.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Record source, collector, UTC time, tool/version, SHA-256, storage path, and every transfer.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A timeline event is not automatically a malicious action; corroborate it with other sources.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Fictional CSV fields are training records, not a chain of custody for a real case.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Autopsy  </w:t>
      </w:r>
      <w:r>
        <w:rPr>
          <w:rFonts w:ascii="Comic Neue" w:hAnsi="Comic Neue" w:eastAsia="Comic Neue"/>
          <w:b w:val="0"/>
          <w:i/>
          <w:color w:val="007B89"/>
          <w:sz w:val="17"/>
        </w:rPr>
        <w:t>[TryHackMe]</w:t>
      </w:r>
    </w:p>
    <w:p>
      <w:pPr>
        <w:spacing w:before="0" w:after="20" w:line="240" w:lineRule="auto"/>
      </w:pPr>
      <w:hyperlink r:id="rId11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https://tryhackme.com/room/btautopsye0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Account required; the room describes a deployable lab machine and a disk-image investigation. Some tasks may be limited by the current plan.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Linux Logging for SOC  </w:t>
      </w:r>
      <w:r>
        <w:rPr>
          <w:rFonts w:ascii="Comic Neue" w:hAnsi="Comic Neue" w:eastAsia="Comic Neue"/>
          <w:b w:val="0"/>
          <w:i/>
          <w:color w:val="007B89"/>
          <w:sz w:val="17"/>
        </w:rPr>
        <w:t>[TryHackMe]</w:t>
      </w:r>
    </w:p>
    <w:p>
      <w:pPr>
        <w:spacing w:before="0" w:after="20" w:line="240" w:lineRule="auto"/>
      </w:pPr>
      <w:hyperlink r:id="rId12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https://tryhackme.com/room/linuxloggingforsoc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Account required; the room provides a lab VM for examining Linux system and authentication logs.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ResourcePacks  </w:t>
      </w:r>
      <w:r>
        <w:rPr>
          <w:rFonts w:ascii="Comic Neue" w:hAnsi="Comic Neue" w:eastAsia="Comic Neue"/>
          <w:b w:val="0"/>
          <w:i/>
          <w:color w:val="007B89"/>
          <w:sz w:val="17"/>
        </w:rPr>
        <w:t>[CyberDefenders]</w:t>
      </w:r>
    </w:p>
    <w:p>
      <w:pPr>
        <w:spacing w:before="0" w:after="20" w:line="240" w:lineRule="auto"/>
      </w:pPr>
      <w:hyperlink r:id="rId13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https://cyberdefenders.org/blueteam-ctf-challenges/resourcepacks/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Direct specific challenge page for timeline reconstruction. This challenge is marked retired and requires sign-in to download evidence; use the interactive Autopsy room above if unavailable.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F4F2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087F8C"/>
                <w:sz w:val="18"/>
              </w:rPr>
              <w:t xml:space="preserve">ACCESS CHECK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Open the exact task page and verify the current login, account tier, VM launch button, free/paid terms, and any cost notes before starting. A provider may change availability or retire a challenge.</w:t>
            </w:r>
          </w:p>
        </w:tc>
      </w:tr>
    </w:tbl>
    <w:p>
      <w:pPr>
        <w:spacing w:after="0"/>
      </w:pP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Before you click Start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Write down the provider’s target/scope and use only the instance it creates for you.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Keep this notebook beside the exercise. Use its original course data before trying commands on a local machine.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Capture timestamps, filenames, row/packet IDs, and a short explanation; redact credentials, tokens, and personal data.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If a page says retired, premium, or downloadable-only, use the alternative listed in the access note or return to the matching interactive lab above.</w:t>
      </w: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COMMAND NOTEBOOK - COPY ONE LINE AT A TIME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Commands you can explain</w:t>
      </w:r>
    </w:p>
    <w:p>
      <w:pPr>
        <w:spacing w:before="0" w:after="80" w:line="240" w:lineRule="auto"/>
      </w:pPr>
      <w:r>
        <w:rPr>
          <w:rFonts w:ascii="Comic Neue" w:hAnsi="Comic Neue" w:eastAsia="Comic Neue"/>
          <w:b/>
          <w:i w:val="0"/>
          <w:color w:val="8B4E24"/>
          <w:sz w:val="19"/>
        </w:rPr>
        <w:t>Only analyze the sample files supplied by the course or evidence you are formally authorised to handle. Do not inspect someone else’s device or files.</w:t>
      </w:r>
    </w:p>
    <w:p>
      <w:pPr>
        <w:spacing w:before="0" w:after="100" w:line="240" w:lineRule="auto"/>
      </w:pPr>
      <w:r>
        <w:rPr>
          <w:rFonts w:ascii="Comic Neue" w:hAnsi="Comic Neue" w:eastAsia="Comic Neue"/>
          <w:b w:val="0"/>
          <w:i/>
          <w:color w:val="5A6C7E"/>
          <w:sz w:val="18"/>
        </w:rPr>
        <w:t>First download the matching sample file(s) from the existing card when a command names one. Keep the data in a practice folder and never execute strings stored in evidence.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WINDOWS / HASH AN AUTHORISED SAMPLE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Get-FileHash .\evidence-sample.bin -Algorithm SHA256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Replace the file name with an assigned evidence copy; record the hash before analysis.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LINUX / HASH AN AUTHORISED SAMPLE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sha256sum ./evidence-sample.bin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Creates a checksum string without changing the evidence file.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LIST METADATA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Get-ChildItem .\evidence -File | Select-Object Name,Length,LastWriteTimeUtc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Inventory files in the assigned evidence-copy directory. Timestamps may be modified by copying and are not conclusive alone.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LINUX / SEARCH SUPPLIED LOG COPY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grep -niE "failed|accepted|sudo|session" ./case/auth.log | head -n 50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Search a copy of the training log. Keep the source file untouched and note the matching line numbers.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LINUX / FILE-TYPE CHECK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file ./evidence-sample.bin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Identify a file type from its contents; this is not proof the file is safe to execute.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4F0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275D9B"/>
                <w:sz w:val="18"/>
              </w:rPr>
              <w:t xml:space="preserve">COMMAND HABIT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Check the current working directory, shell, target, and expected effect before pressing Enter. Save the exact command and the output that mattered.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RUN THE EXERCISE - RECORD WHAT THE EVIDENCE REALLY SHOWS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Guided lab run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1. Open the exact Autopsy lab and start the attached VM; alternatively use the assigned forensic case files.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2. Record case ID, authority/scope, evidence source, hash, system timezone, and working-copy path.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3. Build a timeline in UTC and keep source record IDs alongside parsed timestamps.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4. Separate facts from hypotheses and mark missing data or timestamp uncertainty.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5. Export a timeline and concise summary; never upload actual third-party evidence to a public service.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Evidence checklist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exact lab instance or sample file was used?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Which command/query and time range produced the observation?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is the directly observed fact, separate from your inference?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benign/alternative explanation could fit?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extra record or control would help confirm the conclusion?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Check your understanding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What does a matching SHA-256 hash show?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It supports that two byte sequences match; it does not prove the source is authentic or the file is harmless.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Why normalise timestamps to UTC?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It permits comparison across log sources and time zones while retaining the original timestamp and offset.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What is chain of custody?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A documented record of who handled evidence, when, why, and how integrity was preserved.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1C9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8A5A00"/>
                <w:sz w:val="18"/>
              </w:rPr>
              <w:t xml:space="preserve">NOTEBOOK CLOSE-OUT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Finish with: Observation / Evidence source / Why it matters / Alternative explanation / Next check / Limitation. A careful “not enough evidence yet” is a valid professional result.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7287"/>
        <w:sz w:val="16"/>
      </w:rPr>
      <w:t>Training worksheet • fictional examples only • document scope and limitations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D85C50"/>
        <w:sz w:val="16"/>
      </w:rPr>
      <w:t>OPENCYBERPATH  /  PRACTICAL LEARNING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D85C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3243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324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ryhackme.com/room/btautopsye0" TargetMode="External"/><Relationship Id="rId12" Type="http://schemas.openxmlformats.org/officeDocument/2006/relationships/hyperlink" Target="https://tryhackme.com/room/linuxloggingforsoc" TargetMode="External"/><Relationship Id="rId13" Type="http://schemas.openxmlformats.org/officeDocument/2006/relationships/hyperlink" Target="https://cyberdefenders.org/blueteam-ctf-challenges/resourcepac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OpenCyberPath notes: DFIR evidence register and timeline</dc:title>
  <dc:subject>Expanded lab companion pages with exact provider links, scoped commands, steps, and checks.</dc:subject>
  <dc:creator>python-docx</dc:creator>
  <cp:keywords>OpenCyberPath, hands-on lab, cybersecurity notes, authorized training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