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E792E"/>
          <w:sz w:val="16"/>
        </w:rPr>
        <w:t>PATH 06  •  GOVERNANCE, RISK AND COMPLIANCE</w:t>
      </w:r>
    </w:p>
    <w:p>
      <w:pPr>
        <w:pStyle w:val="Title"/>
      </w:pPr>
      <w:r>
        <w:t>GRC Risk Register Starter</w:t>
      </w:r>
    </w:p>
    <w:p>
      <w:pPr>
        <w:spacing w:after="200"/>
      </w:pPr>
      <w:r>
        <w:t>Use this workbook to learn a repeatable method. Write what you observed separately from what you infer; never present fictional sample data as a real incident or production assessment.</w:t>
      </w:r>
    </w:p>
    <w:p>
      <w:pPr>
        <w:pStyle w:val="Heading1"/>
      </w:pPr>
      <w:r>
        <w:t>1. Define the scope and rating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AE792E"/>
              </w:rPr>
              <w:t xml:space="preserve">FICTIONAL TRAINING EXAMPLE  </w:t>
            </w:r>
            <w:r>
              <w:t>The sample risks below are examples for practice, not an assessment of a real organisation. Define likelihood and impact criteria before scoring; colours or a multiplied score do not replace judgement.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Planning field</w:t>
            </w:r>
          </w:p>
        </w:tc>
        <w:tc>
          <w:tcPr>
            <w:tcW w:type="dxa" w:w="5112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Learner entry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System / business outcome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Assets and data in scope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Risk owner / participants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Likelihood scale definition (1-5)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Impact scale definition (1-5)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Review date and known assumptions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2. Write risk statements</w:t>
      </w:r>
    </w:p>
    <w:p>
      <w:r>
        <w:t>A useful risk statement links an asset or outcome, a plausible event, and the potential consequence. Avoid wording that implies an incident has already happened unless evidence supports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Asset / outcome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If (risk event)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Then (consequence)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Current control / evidence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Rationale / evidence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Owner / due date</w:t>
            </w:r>
          </w:p>
        </w:tc>
        <w:tc>
          <w:tcPr>
            <w:tcW w:type="dxa" w:w="1461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R-001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Mitigate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R-002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Mitigate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R-003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Review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R-004</w:t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14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Open</w:t>
            </w:r>
          </w:p>
        </w:tc>
      </w:tr>
    </w:tbl>
    <w:p>
      <w:pPr>
        <w:pStyle w:val="Heading1"/>
      </w:pPr>
      <w:r>
        <w:t>4. Map controls to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Control outcome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that could verify it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Gap / limitation</w:t>
            </w:r>
          </w:p>
        </w:tc>
        <w:tc>
          <w:tcPr>
            <w:tcW w:type="dxa" w:w="2045"/>
            <w:shd w:fill="AE792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Next action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5. Decision summary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Each rating has a written rationale and defined scale.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Every open risk has an owner or a documented reason it is unassigned.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Treatment choices and review dates are explicit.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Evidence gaps and accepted risks are visible.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Framework mappings are not presented as proof of compliance.</w:t>
      </w:r>
    </w:p>
    <w:p>
      <w:pPr>
        <w:spacing w:before="100"/>
      </w:pPr>
      <w:r>
        <w:rPr>
          <w:b/>
          <w:color w:val="13243A"/>
        </w:rPr>
        <w:t>Top three priorities and why: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Decision or support requested from a stakeholder: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AE792E"/>
              </w:rPr>
              <w:t xml:space="preserve">REMEMBER  </w:t>
            </w:r>
            <w:r>
              <w:t>A policy or control description says what should happen. Evidence is what helps show whether it actually happens.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Governance, risk scoring, controls, current/target profile gaps, and evidence.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State the asset, threat event, vulnerability/condition, likelihood, impact, and existing control.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Explain likelihood and impact scales before assigning scores.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Use a current-vs-target profile to make gaps explicit; do not equate a template with compliance certification.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Every risk needs an owner, treatment decision, due date, and evidence that can be checked.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CSF 2.0 Organizational Profiles  </w:t>
      </w:r>
      <w:r>
        <w:rPr>
          <w:rFonts w:ascii="Comic Neue" w:hAnsi="Comic Neue" w:eastAsia="Comic Neue"/>
          <w:b w:val="0"/>
          <w:i/>
          <w:color w:val="007B89"/>
          <w:sz w:val="17"/>
        </w:rPr>
        <w:t>[NIST]</w:t>
      </w:r>
    </w:p>
    <w:p>
      <w:pPr>
        <w:spacing w:before="0" w:after="20" w:line="240" w:lineRule="auto"/>
      </w:pPr>
      <w:hyperlink r:id="rId11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https://www.nist.gov/cyberframework/profiles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Official template download for current and target profiles. This is a framework exercise/spreadsheet, not a virtual machine lab.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Evaluate regulatory compliance in Defender for Cloud  </w:t>
      </w:r>
      <w:r>
        <w:rPr>
          <w:rFonts w:ascii="Comic Neue" w:hAnsi="Comic Neue" w:eastAsia="Comic Neue"/>
          <w:b w:val="0"/>
          <w:i/>
          <w:color w:val="007B89"/>
          <w:sz w:val="17"/>
        </w:rPr>
        <w:t>[Microsoft Learn]</w:t>
      </w:r>
    </w:p>
    <w:p>
      <w:pPr>
        <w:spacing w:before="0" w:after="20" w:line="240" w:lineRule="auto"/>
      </w:pPr>
      <w:hyperlink r:id="rId12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https://learn.microsoft.com/en-us/training/modules/evaluate-regulatory-compliance/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guided module with assessment. A live cloud tenant may be needed for some hands-on steps and can incur charges.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This practice uses fictional assets and spreadsheet data. Do not place real company security weaknesses or confidential information in the public training site.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INSPECT THE CSV TEMPLATE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.\grc-risk-register-starter.csv | Format-Table -AutoSize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the bundled fictional risk rows. Adjust if you have saved the template under another name.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HASH WORKSHEET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Get-FileHash .\grc-risk-register-starter.csv -Algorithm SHA256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Record the exact training worksheet version used in a report.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PYTHON / CHECK CSV HEADER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python -c "import csv; print(next(csv.reader(open('grc-risk-register-starter.csv', encoding='utf-8'))))"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Print the CSV column headers only. Run from the directory containing the sample file.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GIT / KEEP TRACK OF YOUR OWN NOTE CHANGES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git status --short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If you maintain a study repo, check which files you changed before committing. Never add credentials or real confidential risk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Open the NIST CSF 2.0 profile template and use a fictional organisation or class scenario.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Define likelihood and impact criteria, then record the current state and desired target state separately.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Map each gap to an outcome/control, risk owner, treatment, due date, and evidence request.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Prioritise using documented reasoning, not just a multiplied score or colour.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If completing the Microsoft Learn module, check the subscription/tenant before any hands-on cloud action; do not provision paid services for the worksheet.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Does a completed profile prove an organisation is compliant?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No. It is a structured description of current/target outcomes and gaps, not a certification or audit opinion.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document a risk owner and due date?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Without accountability and timing, the register is only a list and cannot show treatment progress.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How should a risk be closed?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Record the control evidence, test method, residual risk, approver, and review 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87"/>
        <w:sz w:val="16"/>
      </w:rPr>
      <w:t>Training worksheet • fictional examples only • document scope and limitations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AE792E"/>
        <w:sz w:val="16"/>
      </w:rPr>
      <w:t>OPENCYBERPATH  /  PRACTICAL LEARNING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E792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3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4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st.gov/cyberframework/profiles" TargetMode="External"/><Relationship Id="rId12" Type="http://schemas.openxmlformats.org/officeDocument/2006/relationships/hyperlink" Target="https://learn.microsoft.com/en-us/training/modules/evaluate-regulatory-compli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OpenCyberPath notes: GRC risk register starter</dc:title>
  <dc:subject>Expanded lab companion pages with exact provider links, scoped commands, steps, and checks.</dc:subject>
  <dc:creator>python-docx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