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ptos Display" w:hAnsi="Aptos Display" w:eastAsia="Aptos Display"/>
          <w:b/>
          <w:i w:val="0"/>
          <w:color w:val="12263A"/>
          <w:sz w:val="52"/>
        </w:rPr>
        <w:t>Lab 01: Windows Process-Event Triage</w:t>
      </w:r>
    </w:p>
    <w:p>
      <w:pPr>
        <w:spacing w:after="240"/>
      </w:pPr>
      <w:r>
        <w:rPr>
          <w:rFonts w:ascii="Aptos" w:hAnsi="Aptos" w:eastAsia="Aptos"/>
          <w:b w:val="0"/>
          <w:i/>
          <w:color w:val="137A63"/>
          <w:sz w:val="24"/>
        </w:rPr>
        <w:t>A safe beginner exercise using sample evidence and optional local Event Viewer inspection</w:t>
      </w:r>
    </w:p>
    <w:p>
      <w:pPr>
        <w:pStyle w:val="Heading1"/>
      </w:pPr>
      <w:r>
        <w:t>Learning goals</w:t>
      </w:r>
    </w:p>
    <w:p>
      <w:pPr>
        <w:pStyle w:val="ListBullet"/>
        <w:spacing w:after="40"/>
      </w:pPr>
      <w:r>
        <w:rPr>
          <w:rFonts w:ascii="Aptos" w:hAnsi="Aptos" w:eastAsia="Aptos"/>
          <w:b w:val="0"/>
          <w:i w:val="0"/>
          <w:color w:val="12263A"/>
          <w:sz w:val="21"/>
        </w:rPr>
        <w:t>Distinguish an event from an alert and an incident.</w:t>
      </w:r>
    </w:p>
    <w:p>
      <w:pPr>
        <w:pStyle w:val="ListBullet"/>
        <w:spacing w:after="40"/>
      </w:pPr>
      <w:r>
        <w:rPr>
          <w:rFonts w:ascii="Aptos" w:hAnsi="Aptos" w:eastAsia="Aptos"/>
          <w:b w:val="0"/>
          <w:i w:val="0"/>
          <w:color w:val="12263A"/>
          <w:sz w:val="21"/>
        </w:rPr>
        <w:t>Identify key fields in a process-creation record.</w:t>
      </w:r>
    </w:p>
    <w:p>
      <w:pPr>
        <w:pStyle w:val="ListBullet"/>
        <w:spacing w:after="40"/>
      </w:pPr>
      <w:r>
        <w:rPr>
          <w:rFonts w:ascii="Aptos" w:hAnsi="Aptos" w:eastAsia="Aptos"/>
          <w:b w:val="0"/>
          <w:i w:val="0"/>
          <w:color w:val="12263A"/>
          <w:sz w:val="21"/>
        </w:rPr>
        <w:t>Write an evidence-based triage note without overclaiming.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3D8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i w:val="0"/>
                <w:color w:val="9A6415"/>
                <w:sz w:val="18"/>
              </w:rPr>
              <w:t xml:space="preserve">SAFETY / COST  </w:t>
            </w:r>
            <w:r>
              <w:rPr>
                <w:rFonts w:ascii="Aptos" w:hAnsi="Aptos" w:eastAsia="Aptos"/>
                <w:b w:val="0"/>
                <w:i w:val="0"/>
                <w:color w:val="12263A"/>
                <w:sz w:val="20"/>
              </w:rPr>
              <w:t>Use the included sample data first; it costs nothing and changes no system settings. Only inspect logs on a device/account you are authorised to use.</w:t>
            </w:r>
          </w:p>
        </w:tc>
      </w:tr>
    </w:tbl>
    <w:p>
      <w:pPr>
        <w:spacing w:after="20"/>
      </w:pPr>
    </w:p>
    <w:p>
      <w:pPr>
        <w:pStyle w:val="Heading1"/>
      </w:pPr>
      <w:r>
        <w:t>Part A — Read the sample record</w:t>
      </w:r>
    </w:p>
    <w:p>
      <w:r>
        <w:rPr>
          <w:rFonts w:ascii="Aptos" w:hAnsi="Aptos"/>
          <w:sz w:val="21"/>
        </w:rPr>
        <w:t>Open the companion file website/public/labs/windows-process-creation-samples.json, or use the sample-data download button on this lab card. It contains intentionally simplified training records with synthetic IDs. Do not treat them as live telemetry.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fill="12263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8"/>
              </w:rPr>
              <w:t>Field</w:t>
            </w:r>
          </w:p>
        </w:tc>
        <w:tc>
          <w:tcPr>
            <w:tcW w:type="dxa" w:w="3360"/>
            <w:shd w:fill="12263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8"/>
              </w:rPr>
              <w:t>Sample value</w:t>
            </w:r>
          </w:p>
        </w:tc>
        <w:tc>
          <w:tcPr>
            <w:tcW w:type="dxa" w:w="3360"/>
            <w:shd w:fill="12263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8"/>
              </w:rPr>
              <w:t>Interpretation</w:t>
            </w:r>
          </w:p>
        </w:tc>
      </w:tr>
      <w:tr>
        <w:tc>
          <w:tcPr>
            <w:tcW w:type="dxa" w:w="33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event_id</w:t>
            </w:r>
          </w:p>
        </w:tc>
        <w:tc>
          <w:tcPr>
            <w:tcW w:type="dxa" w:w="33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SAMPLE-4688-001</w:t>
            </w:r>
          </w:p>
        </w:tc>
        <w:tc>
          <w:tcPr>
            <w:tcW w:type="dxa" w:w="33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Training identifier, not a real Windows ID</w:t>
            </w:r>
          </w:p>
        </w:tc>
      </w:tr>
      <w:tr>
        <w:tc>
          <w:tcPr>
            <w:tcW w:type="dxa" w:w="33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shd w:fill="F3F6F8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windows_event_id</w:t>
            </w:r>
          </w:p>
        </w:tc>
        <w:tc>
          <w:tcPr>
            <w:tcW w:type="dxa" w:w="33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shd w:fill="F3F6F8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4688</w:t>
            </w:r>
          </w:p>
        </w:tc>
        <w:tc>
          <w:tcPr>
            <w:tcW w:type="dxa" w:w="33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shd w:fill="F3F6F8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Windows Security process-creation event ID, if auditing is configured</w:t>
            </w:r>
          </w:p>
        </w:tc>
      </w:tr>
      <w:tr>
        <w:tc>
          <w:tcPr>
            <w:tcW w:type="dxa" w:w="33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host</w:t>
            </w:r>
          </w:p>
        </w:tc>
        <w:tc>
          <w:tcPr>
            <w:tcW w:type="dxa" w:w="33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TRAINING-WIN-01</w:t>
            </w:r>
          </w:p>
        </w:tc>
        <w:tc>
          <w:tcPr>
            <w:tcW w:type="dxa" w:w="33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Synthetic host label</w:t>
            </w:r>
          </w:p>
        </w:tc>
      </w:tr>
      <w:tr>
        <w:tc>
          <w:tcPr>
            <w:tcW w:type="dxa" w:w="33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shd w:fill="F3F6F8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process</w:t>
            </w:r>
          </w:p>
        </w:tc>
        <w:tc>
          <w:tcPr>
            <w:tcW w:type="dxa" w:w="33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shd w:fill="F3F6F8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C:\Windows\System32\notepad.exe</w:t>
            </w:r>
          </w:p>
        </w:tc>
        <w:tc>
          <w:tcPr>
            <w:tcW w:type="dxa" w:w="33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shd w:fill="F3F6F8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Harmless example process path</w:t>
            </w:r>
          </w:p>
        </w:tc>
      </w:tr>
      <w:tr>
        <w:tc>
          <w:tcPr>
            <w:tcW w:type="dxa" w:w="33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user</w:t>
            </w:r>
          </w:p>
        </w:tc>
        <w:tc>
          <w:tcPr>
            <w:tcW w:type="dxa" w:w="33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STUDENT-LAB</w:t>
            </w:r>
          </w:p>
        </w:tc>
        <w:tc>
          <w:tcPr>
            <w:tcW w:type="dxa" w:w="33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Synthetic username</w:t>
            </w:r>
          </w:p>
        </w:tc>
      </w:tr>
      <w:tr>
        <w:tc>
          <w:tcPr>
            <w:tcW w:type="dxa" w:w="33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shd w:fill="F3F6F8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label</w:t>
            </w:r>
          </w:p>
        </w:tc>
        <w:tc>
          <w:tcPr>
            <w:tcW w:type="dxa" w:w="33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shd w:fill="F3F6F8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benign</w:t>
            </w:r>
          </w:p>
        </w:tc>
        <w:tc>
          <w:tcPr>
            <w:tcW w:type="dxa" w:w="33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shd w:fill="F3F6F8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Expected label for this training record</w:t>
            </w:r>
          </w:p>
        </w:tc>
      </w:tr>
    </w:tbl>
    <w:p>
      <w:pPr>
        <w:pStyle w:val="Heading1"/>
      </w:pPr>
      <w:r>
        <w:t>Part B — Optional local verification</w:t>
      </w:r>
    </w:p>
    <w:p>
      <w:pPr>
        <w:spacing w:after="60"/>
        <w:ind w:left="317" w:hanging="317"/>
      </w:pPr>
      <w:r>
        <w:rPr>
          <w:rFonts w:ascii="Aptos" w:hAnsi="Aptos" w:eastAsia="Aptos"/>
          <w:b/>
          <w:i w:val="0"/>
          <w:color w:val="137A63"/>
          <w:sz w:val="21"/>
        </w:rPr>
        <w:t xml:space="preserve">1. </w:t>
      </w:r>
      <w:r>
        <w:rPr>
          <w:rFonts w:ascii="Aptos" w:hAnsi="Aptos" w:eastAsia="Aptos"/>
          <w:b w:val="0"/>
          <w:i w:val="0"/>
          <w:color w:val="12263A"/>
          <w:sz w:val="21"/>
        </w:rPr>
        <w:t>Open Event Viewer on your own Windows computer (search the Start menu for Event Viewer).</w:t>
      </w:r>
    </w:p>
    <w:p>
      <w:pPr>
        <w:spacing w:after="60"/>
        <w:ind w:left="317" w:hanging="317"/>
      </w:pPr>
      <w:r>
        <w:rPr>
          <w:rFonts w:ascii="Aptos" w:hAnsi="Aptos" w:eastAsia="Aptos"/>
          <w:b/>
          <w:i w:val="0"/>
          <w:color w:val="137A63"/>
          <w:sz w:val="21"/>
        </w:rPr>
        <w:t xml:space="preserve">2. </w:t>
      </w:r>
      <w:r>
        <w:rPr>
          <w:rFonts w:ascii="Aptos" w:hAnsi="Aptos" w:eastAsia="Aptos"/>
          <w:b w:val="0"/>
          <w:i w:val="0"/>
          <w:color w:val="12263A"/>
          <w:sz w:val="21"/>
        </w:rPr>
        <w:t>Browse to Windows Logs &gt; Security. Access may require appropriate permissions; do not change policy if you are unsure.</w:t>
      </w:r>
    </w:p>
    <w:p>
      <w:pPr>
        <w:spacing w:after="60"/>
        <w:ind w:left="317" w:hanging="317"/>
      </w:pPr>
      <w:r>
        <w:rPr>
          <w:rFonts w:ascii="Aptos" w:hAnsi="Aptos" w:eastAsia="Aptos"/>
          <w:b/>
          <w:i w:val="0"/>
          <w:color w:val="137A63"/>
          <w:sz w:val="21"/>
        </w:rPr>
        <w:t xml:space="preserve">3. </w:t>
      </w:r>
      <w:r>
        <w:rPr>
          <w:rFonts w:ascii="Aptos" w:hAnsi="Aptos" w:eastAsia="Aptos"/>
          <w:b w:val="0"/>
          <w:i w:val="0"/>
          <w:color w:val="12263A"/>
          <w:sz w:val="21"/>
        </w:rPr>
        <w:t>If process-creation auditing is already enabled, inspect a recently created benign process such as Notepad and locate the relevant event record.</w:t>
      </w:r>
    </w:p>
    <w:p>
      <w:pPr>
        <w:spacing w:after="60"/>
        <w:ind w:left="317" w:hanging="317"/>
      </w:pPr>
      <w:r>
        <w:rPr>
          <w:rFonts w:ascii="Aptos" w:hAnsi="Aptos" w:eastAsia="Aptos"/>
          <w:b/>
          <w:i w:val="0"/>
          <w:color w:val="137A63"/>
          <w:sz w:val="21"/>
        </w:rPr>
        <w:t xml:space="preserve">4. </w:t>
      </w:r>
      <w:r>
        <w:rPr>
          <w:rFonts w:ascii="Aptos" w:hAnsi="Aptos" w:eastAsia="Aptos"/>
          <w:b w:val="0"/>
          <w:i w:val="0"/>
          <w:color w:val="12263A"/>
          <w:sz w:val="21"/>
        </w:rPr>
        <w:t>If no matching event appears, use the bundled sample data. Process-creation auditing may not be enabled by default; this exercise does not require changing group policy.</w:t>
      </w:r>
    </w:p>
    <w:p>
      <w:pPr>
        <w:pStyle w:val="Heading1"/>
      </w:pPr>
      <w:r>
        <w:t>Part C — Investigate the training case</w:t>
      </w:r>
    </w:p>
    <w:p>
      <w:r>
        <w:rPr>
          <w:rFonts w:ascii="Aptos" w:hAnsi="Aptos" w:eastAsia="Aptos"/>
          <w:b w:val="0"/>
          <w:i w:val="0"/>
          <w:color w:val="12263A"/>
          <w:sz w:val="21"/>
        </w:rPr>
        <w:t>The second sample is marked suspicious for the purpose of exercising a rule because its command-line field contains an encoded-command indicator. This label is a training ground truth, not proof that a real user or device is compromised.</w:t>
      </w:r>
    </w:p>
    <w:p>
      <w:pPr>
        <w:spacing w:after="60"/>
        <w:ind w:left="317" w:hanging="317"/>
      </w:pPr>
      <w:r>
        <w:rPr>
          <w:rFonts w:ascii="Aptos" w:hAnsi="Aptos" w:eastAsia="Aptos"/>
          <w:b/>
          <w:i w:val="0"/>
          <w:color w:val="137A63"/>
          <w:sz w:val="21"/>
        </w:rPr>
        <w:t xml:space="preserve">1. </w:t>
      </w:r>
      <w:r>
        <w:rPr>
          <w:rFonts w:ascii="Aptos" w:hAnsi="Aptos" w:eastAsia="Aptos"/>
          <w:b w:val="0"/>
          <w:i w:val="0"/>
          <w:color w:val="12263A"/>
          <w:sz w:val="21"/>
        </w:rPr>
        <w:t>Record the event type, host, user, process, and command-line context.</w:t>
      </w:r>
    </w:p>
    <w:p>
      <w:pPr>
        <w:spacing w:after="60"/>
        <w:ind w:left="317" w:hanging="317"/>
      </w:pPr>
      <w:r>
        <w:rPr>
          <w:rFonts w:ascii="Aptos" w:hAnsi="Aptos" w:eastAsia="Aptos"/>
          <w:b/>
          <w:i w:val="0"/>
          <w:color w:val="137A63"/>
          <w:sz w:val="21"/>
        </w:rPr>
        <w:t xml:space="preserve">2. </w:t>
      </w:r>
      <w:r>
        <w:rPr>
          <w:rFonts w:ascii="Aptos" w:hAnsi="Aptos" w:eastAsia="Aptos"/>
          <w:b w:val="0"/>
          <w:i w:val="0"/>
          <w:color w:val="12263A"/>
          <w:sz w:val="21"/>
        </w:rPr>
        <w:t>Describe the exact condition that caused the rule to match.</w:t>
      </w:r>
    </w:p>
    <w:p>
      <w:pPr>
        <w:spacing w:after="60"/>
        <w:ind w:left="317" w:hanging="317"/>
      </w:pPr>
      <w:r>
        <w:rPr>
          <w:rFonts w:ascii="Aptos" w:hAnsi="Aptos" w:eastAsia="Aptos"/>
          <w:b/>
          <w:i w:val="0"/>
          <w:color w:val="137A63"/>
          <w:sz w:val="21"/>
        </w:rPr>
        <w:t xml:space="preserve">3. </w:t>
      </w:r>
      <w:r>
        <w:rPr>
          <w:rFonts w:ascii="Aptos" w:hAnsi="Aptos" w:eastAsia="Aptos"/>
          <w:b w:val="0"/>
          <w:i w:val="0"/>
          <w:color w:val="12263A"/>
          <w:sz w:val="21"/>
        </w:rPr>
        <w:t>List at least two pieces of additional context you would seek in a real investigation.</w:t>
      </w:r>
    </w:p>
    <w:p>
      <w:pPr>
        <w:spacing w:after="60"/>
        <w:ind w:left="317" w:hanging="317"/>
      </w:pPr>
      <w:r>
        <w:rPr>
          <w:rFonts w:ascii="Aptos" w:hAnsi="Aptos" w:eastAsia="Aptos"/>
          <w:b/>
          <w:i w:val="0"/>
          <w:color w:val="137A63"/>
          <w:sz w:val="21"/>
        </w:rPr>
        <w:t xml:space="preserve">4. </w:t>
      </w:r>
      <w:r>
        <w:rPr>
          <w:rFonts w:ascii="Aptos" w:hAnsi="Aptos" w:eastAsia="Aptos"/>
          <w:b w:val="0"/>
          <w:i w:val="0"/>
          <w:color w:val="12263A"/>
          <w:sz w:val="21"/>
        </w:rPr>
        <w:t>Describe one legitimate reason administrative PowerShell may be used.</w:t>
      </w:r>
    </w:p>
    <w:p>
      <w:pPr>
        <w:spacing w:after="60"/>
        <w:ind w:left="317" w:hanging="317"/>
      </w:pPr>
      <w:r>
        <w:rPr>
          <w:rFonts w:ascii="Aptos" w:hAnsi="Aptos" w:eastAsia="Aptos"/>
          <w:b/>
          <w:i w:val="0"/>
          <w:color w:val="137A63"/>
          <w:sz w:val="21"/>
        </w:rPr>
        <w:t xml:space="preserve">5. </w:t>
      </w:r>
      <w:r>
        <w:rPr>
          <w:rFonts w:ascii="Aptos" w:hAnsi="Aptos" w:eastAsia="Aptos"/>
          <w:b w:val="0"/>
          <w:i w:val="0"/>
          <w:color w:val="12263A"/>
          <w:sz w:val="21"/>
        </w:rPr>
        <w:t>Write a short conclusion using “observed”, “suggests”, and “not yet confirmed” accurately.</w:t>
      </w:r>
    </w:p>
    <w:p>
      <w:pPr>
        <w:pStyle w:val="Heading1"/>
      </w:pPr>
      <w:r>
        <w:t>Answer key / discussion</w:t>
      </w:r>
    </w:p>
    <w:p>
      <w:r>
        <w:rPr>
          <w:rFonts w:ascii="Aptos" w:hAnsi="Aptos" w:eastAsia="Aptos"/>
          <w:b w:val="0"/>
          <w:i w:val="0"/>
          <w:color w:val="12263A"/>
          <w:sz w:val="21"/>
        </w:rPr>
        <w:t>The benign Notepad record should not match a rule scoped to PowerShell encoded-command indicators. The labelled PowerShell training record should match if the rule checks the process name and relevant argument marker. That rule is only a triage signal; analyst review is needed to establish intent and scope.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5F5ED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i w:val="0"/>
                <w:color w:val="137A63"/>
                <w:sz w:val="18"/>
              </w:rPr>
              <w:t xml:space="preserve">SUCCESS CRITERIA  </w:t>
            </w:r>
            <w:r>
              <w:rPr>
                <w:rFonts w:ascii="Aptos" w:hAnsi="Aptos" w:eastAsia="Aptos"/>
                <w:b w:val="0"/>
                <w:i w:val="0"/>
                <w:color w:val="12263A"/>
                <w:sz w:val="20"/>
              </w:rPr>
              <w:t>Your note cites observable fields, explains the rule match, identifies missing evidence, and avoids claiming that a rule match alone proves malicious intent.</w:t>
            </w:r>
          </w:p>
        </w:tc>
      </w:tr>
    </w:tbl>
    <w:p>
      <w:pPr>
        <w:spacing w:after="20"/>
      </w:pPr>
    </w:p>
    <w:p>
      <w:pPr>
        <w:pStyle w:val="Heading1"/>
      </w:pPr>
      <w:r>
        <w:t>Further study</w:t>
      </w:r>
    </w:p>
    <w:p>
      <w:pPr>
        <w:pStyle w:val="ListBullet"/>
      </w:pPr>
      <w:hyperlink r:id="rId11">
        <w:r>
          <w:rPr>
            <w:color w:val="137A63"/>
            <w:u w:val="single"/>
          </w:rPr>
          <w:t>Windows event auditing overview (Microsoft Learn)</w:t>
        </w:r>
      </w:hyperlink>
    </w:p>
    <w:p>
      <w:pPr>
        <w:pStyle w:val="ListBullet"/>
      </w:pPr>
      <w:hyperlink r:id="rId12">
        <w:r>
          <w:rPr>
            <w:color w:val="137A63"/>
            <w:u w:val="single"/>
          </w:rPr>
          <w:t>Wazuh getting started</w:t>
        </w:r>
      </w:hyperlink>
    </w:p>
    <w:p>
      <w:pPr>
        <w:pageBreakBefore/>
        <w:spacing w:before="0" w:after="20" w:line="240" w:lineRule="auto"/>
        <w:jc w:val="right"/>
      </w:pPr>
      <w:r>
        <w:rPr>
          <w:rFonts w:ascii="Comic Neue" w:hAnsi="Comic Neue" w:eastAsia="Comic Neue"/>
          <w:b/>
          <w:i/>
          <w:color w:val="688097"/>
          <w:sz w:val="15"/>
        </w:rPr>
        <w:t>OPENCYBERPATH FIELD NOTEBOOK - MATCHED EXTERNAL PRACTICE</w:t>
      </w:r>
    </w:p>
    <w:p>
      <w:pPr>
        <w:keepNext/>
        <w:spacing w:before="100" w:after="80" w:line="240" w:lineRule="auto"/>
      </w:pPr>
      <w:r>
        <w:rPr>
          <w:rFonts w:ascii="Comic Neue" w:hAnsi="Comic Neue" w:eastAsia="Comic Neue"/>
          <w:b/>
          <w:i/>
          <w:color w:val="087F8C"/>
          <w:sz w:val="34"/>
        </w:rPr>
        <w:t>A real lab for these notes</w:t>
      </w:r>
    </w:p>
    <w:p>
      <w:pPr>
        <w:spacing w:before="0" w:after="80" w:line="240" w:lineRule="auto"/>
      </w:pPr>
      <w:r>
        <w:rPr>
          <w:rFonts w:ascii="Comic Neue" w:hAnsi="Comic Neue" w:eastAsia="Comic Neue"/>
          <w:b w:val="0"/>
          <w:i w:val="0"/>
          <w:color w:val="24344D"/>
          <w:sz w:val="20"/>
        </w:rPr>
        <w:t>Topic: Windows Security events, process creation, and safe triage. These pages connect the existing OpenCyberPath notes to specific provider-hosted exercises. The card label is intentionally generic; the exact task name and direct URL are listed here so you can open the right exercise instead of a whole catalogue.</w:t>
      </w:r>
    </w:p>
    <w:p>
      <w:pPr>
        <w:keepNext/>
        <w:spacing w:before="40" w:after="80" w:line="240" w:lineRule="auto"/>
      </w:pPr>
      <w:r>
        <w:rPr>
          <w:rFonts w:ascii="Comic Neue" w:hAnsi="Comic Neue" w:eastAsia="Comic Neue"/>
          <w:b/>
          <w:i/>
          <w:color w:val="B34778"/>
          <w:sz w:val="25"/>
        </w:rPr>
        <w:t>Concept checkpoints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Event ID 4688 describes process creation when the relevant audit policy is configured.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Read the process path, user, command line, parent process (if available), host, and timestamp as a group.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A command-line indicator is a lead for review, not proof of maliciousness.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Use synthetic sample data first; live event-log access may need permission.</w:t>
      </w:r>
    </w:p>
    <w:p>
      <w:pPr>
        <w:keepNext/>
        <w:spacing w:before="0" w:after="0" w:line="240" w:lineRule="auto"/>
      </w:pPr>
      <w:r>
        <w:rPr>
          <w:rFonts w:ascii="Comic Neue" w:hAnsi="Comic Neue" w:eastAsia="Comic Neue"/>
          <w:b/>
          <w:i w:val="0"/>
          <w:color w:val="213A58"/>
          <w:sz w:val="20"/>
        </w:rPr>
        <w:t xml:space="preserve">Windows Event Logs  </w:t>
      </w:r>
      <w:r>
        <w:rPr>
          <w:rFonts w:ascii="Comic Neue" w:hAnsi="Comic Neue" w:eastAsia="Comic Neue"/>
          <w:b w:val="0"/>
          <w:i/>
          <w:color w:val="007B89"/>
          <w:sz w:val="17"/>
        </w:rPr>
        <w:t>[TryHackMe]</w:t>
      </w:r>
    </w:p>
    <w:p>
      <w:pPr>
        <w:spacing w:before="0" w:after="20" w:line="240" w:lineRule="auto"/>
      </w:pPr>
      <w:hyperlink r:id="rId13">
        <w:r>
          <w:rPr>
            <w:color w:val="1465A8"/>
            <w:u w:val="single"/>
            <w:rFonts w:ascii="DejaVu Sans Mono" w:hAnsi="DejaVu Sans Mono" w:eastAsia="DejaVu Sans Mono"/>
            <w:sz w:val="15"/>
          </w:rPr>
          <w:t>https://tryhackme.com/room/windowseventlogs</w:t>
        </w:r>
      </w:hyperlink>
    </w:p>
    <w:p>
      <w:pPr>
        <w:spacing w:before="0" w:after="60" w:line="240" w:lineRule="auto"/>
      </w:pPr>
      <w:r>
        <w:rPr>
          <w:rFonts w:ascii="Comic Neue" w:hAnsi="Comic Neue" w:eastAsia="Comic Neue"/>
          <w:b w:val="0"/>
          <w:i/>
          <w:color w:val="5E6D7E"/>
          <w:sz w:val="17"/>
        </w:rPr>
        <w:t>Access note: Account required; the provider page currently marks substantial tasks as paid-tier. Check access before relying on it. A deployable lab machine is described on the page.</w:t>
      </w:r>
    </w:p>
    <w:p>
      <w:pPr>
        <w:keepNext/>
        <w:spacing w:before="0" w:after="0" w:line="240" w:lineRule="auto"/>
      </w:pPr>
      <w:r>
        <w:rPr>
          <w:rFonts w:ascii="Comic Neue" w:hAnsi="Comic Neue" w:eastAsia="Comic Neue"/>
          <w:b/>
          <w:i w:val="0"/>
          <w:color w:val="213A58"/>
          <w:sz w:val="20"/>
        </w:rPr>
        <w:t xml:space="preserve">Windows Logging for SOC  </w:t>
      </w:r>
      <w:r>
        <w:rPr>
          <w:rFonts w:ascii="Comic Neue" w:hAnsi="Comic Neue" w:eastAsia="Comic Neue"/>
          <w:b w:val="0"/>
          <w:i/>
          <w:color w:val="007B89"/>
          <w:sz w:val="17"/>
        </w:rPr>
        <w:t>[TryHackMe]</w:t>
      </w:r>
    </w:p>
    <w:p>
      <w:pPr>
        <w:spacing w:before="0" w:after="20" w:line="240" w:lineRule="auto"/>
      </w:pPr>
      <w:hyperlink r:id="rId14">
        <w:r>
          <w:rPr>
            <w:color w:val="1465A8"/>
            <w:u w:val="single"/>
            <w:rFonts w:ascii="DejaVu Sans Mono" w:hAnsi="DejaVu Sans Mono" w:eastAsia="DejaVu Sans Mono"/>
            <w:sz w:val="15"/>
          </w:rPr>
          <w:t>https://tryhackme.com/room/windowsloggingforsoc</w:t>
        </w:r>
      </w:hyperlink>
    </w:p>
    <w:p>
      <w:pPr>
        <w:spacing w:before="0" w:after="60" w:line="240" w:lineRule="auto"/>
      </w:pPr>
      <w:r>
        <w:rPr>
          <w:rFonts w:ascii="Comic Neue" w:hAnsi="Comic Neue" w:eastAsia="Comic Neue"/>
          <w:b w:val="0"/>
          <w:i/>
          <w:color w:val="5E6D7E"/>
          <w:sz w:val="17"/>
        </w:rPr>
        <w:t>Access note: Account required; provider entitlements can change. The room focuses on Windows logs, Sysmon, process events, and authentication examples.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DDF4F2"/>
            <w:tcMar>
              <w:top w:w="90" w:type="dxa"/>
              <w:start w:w="150" w:type="dxa"/>
              <w:bottom w:w="90" w:type="dxa"/>
              <w:end w:w="150" w:type="dxa"/>
            </w:tcMar>
          </w:tcPr>
          <w:p>
            <w:pPr>
              <w:spacing w:before="0" w:after="0" w:line="240" w:lineRule="auto"/>
            </w:pPr>
            <w:r>
              <w:rPr>
                <w:rFonts w:ascii="Comic Neue" w:hAnsi="Comic Neue" w:eastAsia="Comic Neue"/>
                <w:b/>
                <w:i/>
                <w:color w:val="087F8C"/>
                <w:sz w:val="18"/>
              </w:rPr>
              <w:t xml:space="preserve">ACCESS CHECK  </w:t>
            </w:r>
            <w:r>
              <w:rPr>
                <w:rFonts w:ascii="Comic Neue" w:hAnsi="Comic Neue" w:eastAsia="Comic Neue"/>
                <w:b w:val="0"/>
                <w:i w:val="0"/>
                <w:color w:val="2F3E50"/>
                <w:sz w:val="18"/>
              </w:rPr>
              <w:t>Open the exact task page and verify the current login, account tier, VM launch button, free/paid terms, and any cost notes before starting. A provider may change availability or retire a challenge.</w:t>
            </w:r>
          </w:p>
        </w:tc>
      </w:tr>
    </w:tbl>
    <w:p>
      <w:pPr>
        <w:spacing w:after="0"/>
      </w:pPr>
    </w:p>
    <w:p>
      <w:pPr>
        <w:keepNext/>
        <w:spacing w:before="40" w:after="80" w:line="240" w:lineRule="auto"/>
      </w:pPr>
      <w:r>
        <w:rPr>
          <w:rFonts w:ascii="Comic Neue" w:hAnsi="Comic Neue" w:eastAsia="Comic Neue"/>
          <w:b/>
          <w:i/>
          <w:color w:val="B34778"/>
          <w:sz w:val="25"/>
        </w:rPr>
        <w:t>Before you click Start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Write down the provider’s target/scope and use only the instance it creates for you.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Keep this notebook beside the exercise. Use its original course data before trying commands on a local machine.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Capture timestamps, filenames, row/packet IDs, and a short explanation; redact credentials, tokens, and personal data.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If a page says retired, premium, or downloadable-only, use the alternative listed in the access note or return to the matching interactive lab above.</w:t>
      </w:r>
    </w:p>
    <w:p>
      <w:pPr>
        <w:pageBreakBefore/>
        <w:spacing w:before="0" w:after="20" w:line="240" w:lineRule="auto"/>
        <w:jc w:val="right"/>
      </w:pPr>
      <w:r>
        <w:rPr>
          <w:rFonts w:ascii="Comic Neue" w:hAnsi="Comic Neue" w:eastAsia="Comic Neue"/>
          <w:b/>
          <w:i/>
          <w:color w:val="688097"/>
          <w:sz w:val="15"/>
        </w:rPr>
        <w:t>COMMAND NOTEBOOK - COPY ONE LINE AT A TIME</w:t>
      </w:r>
    </w:p>
    <w:p>
      <w:pPr>
        <w:keepNext/>
        <w:spacing w:before="100" w:after="80" w:line="240" w:lineRule="auto"/>
      </w:pPr>
      <w:r>
        <w:rPr>
          <w:rFonts w:ascii="Comic Neue" w:hAnsi="Comic Neue" w:eastAsia="Comic Neue"/>
          <w:b/>
          <w:i/>
          <w:color w:val="087F8C"/>
          <w:sz w:val="34"/>
        </w:rPr>
        <w:t>Commands you can explain</w:t>
      </w:r>
    </w:p>
    <w:p>
      <w:pPr>
        <w:spacing w:before="0" w:after="80" w:line="240" w:lineRule="auto"/>
      </w:pPr>
      <w:r>
        <w:rPr>
          <w:rFonts w:ascii="Comic Neue" w:hAnsi="Comic Neue" w:eastAsia="Comic Neue"/>
          <w:b/>
          <w:i w:val="0"/>
          <w:color w:val="8B4E24"/>
          <w:sz w:val="19"/>
        </w:rPr>
        <w:t>Only inspect logs on your own device or an explicitly assigned lab VM. These commands are read-only and do not change audit policy.</w:t>
      </w:r>
    </w:p>
    <w:p>
      <w:pPr>
        <w:spacing w:before="0" w:after="100" w:line="240" w:lineRule="auto"/>
      </w:pPr>
      <w:r>
        <w:rPr>
          <w:rFonts w:ascii="Comic Neue" w:hAnsi="Comic Neue" w:eastAsia="Comic Neue"/>
          <w:b w:val="0"/>
          <w:i/>
          <w:color w:val="5A6C7E"/>
          <w:sz w:val="18"/>
        </w:rPr>
        <w:t>First download the matching sample file(s) from the existing card when a command names one. Keep the data in a practice folder and never execute strings stored in evidence.</w:t>
      </w:r>
    </w:p>
    <w:p>
      <w:pPr>
        <w:keepNext/>
        <w:spacing w:before="60" w:after="0" w:line="240" w:lineRule="auto"/>
      </w:pPr>
      <w:r>
        <w:rPr>
          <w:rFonts w:ascii="Comic Neue" w:hAnsi="Comic Neue" w:eastAsia="Comic Neue"/>
          <w:b/>
          <w:i w:val="0"/>
          <w:color w:val="007B89"/>
          <w:sz w:val="16"/>
        </w:rPr>
        <w:t xml:space="preserve">POWERSHELL / SAMPLE JSON 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0" w:line="240" w:lineRule="auto"/>
            </w:pPr>
            <w:r>
              <w:rPr>
                <w:rFonts w:ascii="DejaVu Sans Mono" w:hAnsi="DejaVu Sans Mono" w:eastAsia="DejaVu Sans Mono"/>
                <w:b w:val="0"/>
                <w:i w:val="0"/>
                <w:color w:val="172E45"/>
                <w:sz w:val="16"/>
              </w:rPr>
              <w:t>Get-Content .\windows-process-creation-samples.json -Raw | ConvertFrom-Json | Format-Table event_id,windows_event_id,host,user,process,activity_label -AutoSize</w:t>
            </w:r>
          </w:p>
        </w:tc>
      </w:tr>
    </w:tbl>
    <w:p>
      <w:pPr>
        <w:spacing w:before="0" w:after="60" w:line="240" w:lineRule="auto"/>
      </w:pPr>
      <w:r>
        <w:rPr>
          <w:rFonts w:ascii="Comic Neue" w:hAnsi="Comic Neue" w:eastAsia="Comic Neue"/>
          <w:b w:val="0"/>
          <w:i/>
          <w:color w:val="5D6E80"/>
          <w:sz w:val="17"/>
        </w:rPr>
        <w:t>Read the bundled training fixture. Download the sample JSON beside the command before running it.</w:t>
      </w:r>
    </w:p>
    <w:p>
      <w:pPr>
        <w:keepNext/>
        <w:spacing w:before="60" w:after="0" w:line="240" w:lineRule="auto"/>
      </w:pPr>
      <w:r>
        <w:rPr>
          <w:rFonts w:ascii="Comic Neue" w:hAnsi="Comic Neue" w:eastAsia="Comic Neue"/>
          <w:b/>
          <w:i w:val="0"/>
          <w:color w:val="007B89"/>
          <w:sz w:val="16"/>
        </w:rPr>
        <w:t xml:space="preserve">POWERSHELL / LIVE LOCAL LOG 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0" w:line="240" w:lineRule="auto"/>
            </w:pPr>
            <w:r>
              <w:rPr>
                <w:rFonts w:ascii="DejaVu Sans Mono" w:hAnsi="DejaVu Sans Mono" w:eastAsia="DejaVu Sans Mono"/>
                <w:b w:val="0"/>
                <w:i w:val="0"/>
                <w:color w:val="172E45"/>
                <w:sz w:val="16"/>
              </w:rPr>
              <w:t>Get-WinEvent -FilterHashtable @{LogName='Security'; Id=4688} -MaxEvents 20 | Select-Object TimeCreated,Id,ProviderName,Message</w:t>
            </w:r>
          </w:p>
        </w:tc>
      </w:tr>
    </w:tbl>
    <w:p>
      <w:pPr>
        <w:spacing w:before="0" w:after="60" w:line="240" w:lineRule="auto"/>
      </w:pPr>
      <w:r>
        <w:rPr>
          <w:rFonts w:ascii="Comic Neue" w:hAnsi="Comic Neue" w:eastAsia="Comic Neue"/>
          <w:b w:val="0"/>
          <w:i/>
          <w:color w:val="5D6E80"/>
          <w:sz w:val="17"/>
        </w:rPr>
        <w:t>Read-only query of the current computer’s Security log. It can return access denied or no events if auditing is not configured; use the sample JSON instead.</w:t>
      </w:r>
    </w:p>
    <w:p>
      <w:pPr>
        <w:keepNext/>
        <w:spacing w:before="60" w:after="0" w:line="240" w:lineRule="auto"/>
      </w:pPr>
      <w:r>
        <w:rPr>
          <w:rFonts w:ascii="Comic Neue" w:hAnsi="Comic Neue" w:eastAsia="Comic Neue"/>
          <w:b/>
          <w:i w:val="0"/>
          <w:color w:val="007B89"/>
          <w:sz w:val="16"/>
        </w:rPr>
        <w:t xml:space="preserve">POWERSHELL / FAILED LOGONS 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0" w:line="240" w:lineRule="auto"/>
            </w:pPr>
            <w:r>
              <w:rPr>
                <w:rFonts w:ascii="DejaVu Sans Mono" w:hAnsi="DejaVu Sans Mono" w:eastAsia="DejaVu Sans Mono"/>
                <w:b w:val="0"/>
                <w:i w:val="0"/>
                <w:color w:val="172E45"/>
                <w:sz w:val="16"/>
              </w:rPr>
              <w:t>Get-WinEvent -FilterHashtable @{LogName='Security'; Id=4625} -MaxEvents 20 | Select-Object TimeCreated,Id,Message</w:t>
            </w:r>
          </w:p>
        </w:tc>
      </w:tr>
    </w:tbl>
    <w:p>
      <w:pPr>
        <w:spacing w:before="0" w:after="60" w:line="240" w:lineRule="auto"/>
      </w:pPr>
      <w:r>
        <w:rPr>
          <w:rFonts w:ascii="Comic Neue" w:hAnsi="Comic Neue" w:eastAsia="Comic Neue"/>
          <w:b w:val="0"/>
          <w:i/>
          <w:color w:val="5D6E80"/>
          <w:sz w:val="17"/>
        </w:rPr>
        <w:t>Review a small number of failed-logon events on a device you are authorised to inspect.</w:t>
      </w:r>
    </w:p>
    <w:p>
      <w:pPr>
        <w:keepNext/>
        <w:spacing w:before="60" w:after="0" w:line="240" w:lineRule="auto"/>
      </w:pPr>
      <w:r>
        <w:rPr>
          <w:rFonts w:ascii="Comic Neue" w:hAnsi="Comic Neue" w:eastAsia="Comic Neue"/>
          <w:b/>
          <w:i w:val="0"/>
          <w:color w:val="007B89"/>
          <w:sz w:val="16"/>
        </w:rPr>
        <w:t xml:space="preserve">COMMAND PROMPT 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0" w:line="240" w:lineRule="auto"/>
            </w:pPr>
            <w:r>
              <w:rPr>
                <w:rFonts w:ascii="DejaVu Sans Mono" w:hAnsi="DejaVu Sans Mono" w:eastAsia="DejaVu Sans Mono"/>
                <w:b w:val="0"/>
                <w:i w:val="0"/>
                <w:color w:val="172E45"/>
                <w:sz w:val="16"/>
              </w:rPr>
              <w:t>wevtutil qe Security /q:"*[System[(EventID=4688)]]" /c:10 /f:text</w:t>
            </w:r>
          </w:p>
        </w:tc>
      </w:tr>
    </w:tbl>
    <w:p>
      <w:pPr>
        <w:spacing w:before="0" w:after="60" w:line="240" w:lineRule="auto"/>
      </w:pPr>
      <w:r>
        <w:rPr>
          <w:rFonts w:ascii="Comic Neue" w:hAnsi="Comic Neue" w:eastAsia="Comic Neue"/>
          <w:b w:val="0"/>
          <w:i/>
          <w:color w:val="5D6E80"/>
          <w:sz w:val="17"/>
        </w:rPr>
        <w:t>Read up to ten process-creation records on an authorised Windows machine. Access and audit configuration may limit output.</w:t>
      </w:r>
    </w:p>
    <w:p>
      <w:pPr>
        <w:keepNext/>
        <w:spacing w:before="60" w:after="0" w:line="240" w:lineRule="auto"/>
      </w:pPr>
      <w:r>
        <w:rPr>
          <w:rFonts w:ascii="Comic Neue" w:hAnsi="Comic Neue" w:eastAsia="Comic Neue"/>
          <w:b/>
          <w:i w:val="0"/>
          <w:color w:val="007B89"/>
          <w:sz w:val="16"/>
        </w:rPr>
        <w:t xml:space="preserve">POWERSHELL / VERIFY A DOWNLOADED SAMPLE 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0" w:line="240" w:lineRule="auto"/>
            </w:pPr>
            <w:r>
              <w:rPr>
                <w:rFonts w:ascii="DejaVu Sans Mono" w:hAnsi="DejaVu Sans Mono" w:eastAsia="DejaVu Sans Mono"/>
                <w:b w:val="0"/>
                <w:i w:val="0"/>
                <w:color w:val="172E45"/>
                <w:sz w:val="16"/>
              </w:rPr>
              <w:t>Get-FileHash .\windows-process-creation-samples.json -Algorithm SHA256</w:t>
            </w:r>
          </w:p>
        </w:tc>
      </w:tr>
    </w:tbl>
    <w:p>
      <w:pPr>
        <w:spacing w:before="0" w:after="60" w:line="240" w:lineRule="auto"/>
      </w:pPr>
      <w:r>
        <w:rPr>
          <w:rFonts w:ascii="Comic Neue" w:hAnsi="Comic Neue" w:eastAsia="Comic Neue"/>
          <w:b w:val="0"/>
          <w:i/>
          <w:color w:val="5D6E80"/>
          <w:sz w:val="17"/>
        </w:rPr>
        <w:t>Record a file hash when preserving the exact sample used for the exercise.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4F0FF"/>
            <w:tcMar>
              <w:top w:w="90" w:type="dxa"/>
              <w:start w:w="150" w:type="dxa"/>
              <w:bottom w:w="90" w:type="dxa"/>
              <w:end w:w="150" w:type="dxa"/>
            </w:tcMar>
          </w:tcPr>
          <w:p>
            <w:pPr>
              <w:spacing w:before="0" w:after="0" w:line="240" w:lineRule="auto"/>
            </w:pPr>
            <w:r>
              <w:rPr>
                <w:rFonts w:ascii="Comic Neue" w:hAnsi="Comic Neue" w:eastAsia="Comic Neue"/>
                <w:b/>
                <w:i/>
                <w:color w:val="275D9B"/>
                <w:sz w:val="18"/>
              </w:rPr>
              <w:t xml:space="preserve">COMMAND HABIT  </w:t>
            </w:r>
            <w:r>
              <w:rPr>
                <w:rFonts w:ascii="Comic Neue" w:hAnsi="Comic Neue" w:eastAsia="Comic Neue"/>
                <w:b w:val="0"/>
                <w:i w:val="0"/>
                <w:color w:val="2F3E50"/>
                <w:sz w:val="18"/>
              </w:rPr>
              <w:t>Check the current working directory, shell, target, and expected effect before pressing Enter. Save the exact command and the output that mattered.</w:t>
            </w:r>
          </w:p>
        </w:tc>
      </w:tr>
    </w:tbl>
    <w:p>
      <w:pPr>
        <w:spacing w:after="0"/>
      </w:pPr>
    </w:p>
    <w:p>
      <w:pPr>
        <w:pageBreakBefore/>
        <w:spacing w:before="0" w:after="20" w:line="240" w:lineRule="auto"/>
        <w:jc w:val="right"/>
      </w:pPr>
      <w:r>
        <w:rPr>
          <w:rFonts w:ascii="Comic Neue" w:hAnsi="Comic Neue" w:eastAsia="Comic Neue"/>
          <w:b/>
          <w:i/>
          <w:color w:val="688097"/>
          <w:sz w:val="15"/>
        </w:rPr>
        <w:t>RUN THE EXERCISE - RECORD WHAT THE EVIDENCE REALLY SHOWS</w:t>
      </w:r>
    </w:p>
    <w:p>
      <w:pPr>
        <w:keepNext/>
        <w:spacing w:before="100" w:after="80" w:line="240" w:lineRule="auto"/>
      </w:pPr>
      <w:r>
        <w:rPr>
          <w:rFonts w:ascii="Comic Neue" w:hAnsi="Comic Neue" w:eastAsia="Comic Neue"/>
          <w:b/>
          <w:i/>
          <w:color w:val="087F8C"/>
          <w:sz w:val="34"/>
        </w:rPr>
        <w:t>Guided lab run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1. Open the direct Windows logging room and start its attached machine if available.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2. Start with the included sample JSON if the provider room is unavailable.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3. For each record, note timestamp, host, user, process, command line, parent process (if present), and training label.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4. Compare the harmless Notepad example with the explicitly redacted placeholder example. Do not execute the placeholder command.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5. Write one observed fact, one plausible interpretation, one alternative explanation, and one next check.</w:t>
      </w:r>
    </w:p>
    <w:p>
      <w:pPr>
        <w:keepNext/>
        <w:spacing w:before="40" w:after="80" w:line="240" w:lineRule="auto"/>
      </w:pPr>
      <w:r>
        <w:rPr>
          <w:rFonts w:ascii="Comic Neue" w:hAnsi="Comic Neue" w:eastAsia="Comic Neue"/>
          <w:b/>
          <w:i/>
          <w:color w:val="B34778"/>
          <w:sz w:val="25"/>
        </w:rPr>
        <w:t>Evidence checklist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[ ] What exact lab instance or sample file was used?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[ ] Which command/query and time range produced the observation?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[ ] What is the directly observed fact, separate from your inference?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[ ] What benign/alternative explanation could fit?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[ ] What extra record or control would help confirm the conclusion?</w:t>
      </w:r>
    </w:p>
    <w:p>
      <w:pPr>
        <w:keepNext/>
        <w:spacing w:before="40" w:after="80" w:line="240" w:lineRule="auto"/>
      </w:pPr>
      <w:r>
        <w:rPr>
          <w:rFonts w:ascii="Comic Neue" w:hAnsi="Comic Neue" w:eastAsia="Comic Neue"/>
          <w:b/>
          <w:i/>
          <w:color w:val="B34778"/>
          <w:sz w:val="25"/>
        </w:rPr>
        <w:t>Check your understanding</w:t>
      </w:r>
    </w:p>
    <w:p>
      <w:pPr>
        <w:keepNext/>
        <w:spacing w:before="40" w:after="20" w:line="240" w:lineRule="auto"/>
      </w:pPr>
      <w:r>
        <w:rPr>
          <w:rFonts w:ascii="Comic Neue" w:hAnsi="Comic Neue" w:eastAsia="Comic Neue"/>
          <w:b/>
          <w:i/>
          <w:color w:val="B34778"/>
          <w:sz w:val="19"/>
        </w:rPr>
        <w:t>Q  Does Event ID 4688 prove a program is malicious?</w:t>
      </w:r>
    </w:p>
    <w:p>
      <w:pPr>
        <w:spacing w:before="0" w:after="60" w:line="240" w:lineRule="auto"/>
      </w:pPr>
      <w:r>
        <w:rPr>
          <w:rFonts w:ascii="Comic Neue" w:hAnsi="Comic Neue" w:eastAsia="Comic Neue"/>
          <w:b w:val="0"/>
          <w:i w:val="0"/>
          <w:color w:val="263D52"/>
          <w:sz w:val="18"/>
        </w:rPr>
        <w:t>Think it through: No. It records process creation. The command, parent, user, timing, signature, and surrounding events provide context.</w:t>
      </w:r>
    </w:p>
    <w:p>
      <w:pPr>
        <w:keepNext/>
        <w:spacing w:before="40" w:after="20" w:line="240" w:lineRule="auto"/>
      </w:pPr>
      <w:r>
        <w:rPr>
          <w:rFonts w:ascii="Comic Neue" w:hAnsi="Comic Neue" w:eastAsia="Comic Neue"/>
          <w:b/>
          <w:i/>
          <w:color w:val="B34778"/>
          <w:sz w:val="19"/>
        </w:rPr>
        <w:t>Q  Why are placeholders marked REDACTED?</w:t>
      </w:r>
    </w:p>
    <w:p>
      <w:pPr>
        <w:spacing w:before="0" w:after="60" w:line="240" w:lineRule="auto"/>
      </w:pPr>
      <w:r>
        <w:rPr>
          <w:rFonts w:ascii="Comic Neue" w:hAnsi="Comic Neue" w:eastAsia="Comic Neue"/>
          <w:b w:val="0"/>
          <w:i w:val="0"/>
          <w:color w:val="263D52"/>
          <w:sz w:val="18"/>
        </w:rPr>
        <w:t>Think it through: They are intentionally non-executable training markers and should never be treated as runnable commands.</w:t>
      </w:r>
    </w:p>
    <w:p>
      <w:pPr>
        <w:keepNext/>
        <w:spacing w:before="40" w:after="20" w:line="240" w:lineRule="auto"/>
      </w:pPr>
      <w:r>
        <w:rPr>
          <w:rFonts w:ascii="Comic Neue" w:hAnsi="Comic Neue" w:eastAsia="Comic Neue"/>
          <w:b/>
          <w:i/>
          <w:color w:val="B34778"/>
          <w:sz w:val="19"/>
        </w:rPr>
        <w:t>Q  What should you do if Get-WinEvent returns access denied?</w:t>
      </w:r>
    </w:p>
    <w:p>
      <w:pPr>
        <w:spacing w:before="0" w:after="60" w:line="240" w:lineRule="auto"/>
      </w:pPr>
      <w:r>
        <w:rPr>
          <w:rFonts w:ascii="Comic Neue" w:hAnsi="Comic Neue" w:eastAsia="Comic Neue"/>
          <w:b w:val="0"/>
          <w:i w:val="0"/>
          <w:color w:val="263D52"/>
          <w:sz w:val="18"/>
        </w:rPr>
        <w:t>Think it through: Use the bundled sample fixture or the provider’s lab VM; do not change security settings or elevate on a managed device.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1C9"/>
            <w:tcMar>
              <w:top w:w="90" w:type="dxa"/>
              <w:start w:w="150" w:type="dxa"/>
              <w:bottom w:w="90" w:type="dxa"/>
              <w:end w:w="150" w:type="dxa"/>
            </w:tcMar>
          </w:tcPr>
          <w:p>
            <w:pPr>
              <w:spacing w:before="0" w:after="0" w:line="240" w:lineRule="auto"/>
            </w:pPr>
            <w:r>
              <w:rPr>
                <w:rFonts w:ascii="Comic Neue" w:hAnsi="Comic Neue" w:eastAsia="Comic Neue"/>
                <w:b/>
                <w:i/>
                <w:color w:val="8A5A00"/>
                <w:sz w:val="18"/>
              </w:rPr>
              <w:t xml:space="preserve">NOTEBOOK CLOSE-OUT  </w:t>
            </w:r>
            <w:r>
              <w:rPr>
                <w:rFonts w:ascii="Comic Neue" w:hAnsi="Comic Neue" w:eastAsia="Comic Neue"/>
                <w:b w:val="0"/>
                <w:i w:val="0"/>
                <w:color w:val="2F3E50"/>
                <w:sz w:val="18"/>
              </w:rPr>
              <w:t>Finish with: Observation / Evidence source / Why it matters / Alternative explanation / Next check / Limitation. A careful “not enough evidence yet” is a valid professional result.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037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Aptos"/>
        <w:b w:val="0"/>
        <w:i w:val="0"/>
        <w:color w:val="697C8C"/>
        <w:sz w:val="16"/>
      </w:rPr>
      <w:t>Learner-built resource • Verify provider docs and lab scope • No job guarantees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 w:eastAsia="Aptos"/>
        <w:b/>
        <w:i w:val="0"/>
        <w:color w:val="63768A"/>
        <w:sz w:val="16"/>
      </w:rPr>
      <w:t>OPENCYBERPATH  /  FREE LEARNING NOTES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Aptos" w:hAnsi="Aptos" w:eastAsia="Aptos"/>
      <w:color w:val="1226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37A6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2459A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2263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8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2263A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learn.microsoft.com/en-us/windows/security/threat-protection/auditing/basic-audit-process-creation" TargetMode="External"/><Relationship Id="rId12" Type="http://schemas.openxmlformats.org/officeDocument/2006/relationships/hyperlink" Target="https://documentation.wazuh.com/current/getting-started/index.html" TargetMode="External"/><Relationship Id="rId13" Type="http://schemas.openxmlformats.org/officeDocument/2006/relationships/hyperlink" Target="https://tryhackme.com/room/windowseventlogs" TargetMode="External"/><Relationship Id="rId14" Type="http://schemas.openxmlformats.org/officeDocument/2006/relationships/hyperlink" Target="https://tryhackme.com/room/windowsloggingforso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 Windows Process Event Triage</dc:title>
  <dc:subject>Expanded lab companion pages with exact provider links, scoped commands, steps, and checks.</dc:subject>
  <dc:creator>OpenCyberPath community contributors</dc:creator>
  <cp:keywords>OpenCyberPath, hands-on lab, cybersecurity notes, authorized training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