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 w:eastAsia="Aptos Display"/>
          <w:b/>
          <w:i w:val="0"/>
          <w:color w:val="12263A"/>
          <w:sz w:val="52"/>
        </w:rPr>
        <w:t>Lab 02: Evaluate a Detection Rule</w:t>
      </w:r>
    </w:p>
    <w:p>
      <w:pPr>
        <w:spacing w:after="240"/>
      </w:pPr>
      <w:r>
        <w:rPr>
          <w:rFonts w:ascii="Aptos" w:hAnsi="Aptos" w:eastAsia="Aptos"/>
          <w:b w:val="0"/>
          <w:i/>
          <w:color w:val="137A63"/>
          <w:sz w:val="24"/>
        </w:rPr>
        <w:t>Practice cases, confusion-matrix metrics, and transparent reporting</w:t>
      </w:r>
    </w:p>
    <w:p>
      <w:pPr>
        <w:pStyle w:val="Heading1"/>
      </w:pPr>
      <w:r>
        <w:t>Objective</w:t>
      </w:r>
    </w:p>
    <w:p>
      <w:r>
        <w:rPr>
          <w:rFonts w:ascii="Aptos" w:hAnsi="Aptos" w:eastAsia="Aptos"/>
          <w:b w:val="0"/>
          <w:i w:val="0"/>
          <w:color w:val="12263A"/>
          <w:sz w:val="21"/>
        </w:rPr>
        <w:t>Evaluate a simple rule against labelled training scenarios. The important result is not a high score by itself; it is understanding what the rule catches, what it misses, and which labels or assumptions affect the result.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9A6415"/>
                <w:sz w:val="18"/>
              </w:rPr>
              <w:t xml:space="preserve">USE ONLY TRAINING DATA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The bundled cases are synthetic and intended for learning. They are not measured real-world attack performance.</w:t>
            </w:r>
          </w:p>
        </w:tc>
      </w:tr>
    </w:tbl>
    <w:p>
      <w:pPr>
        <w:spacing w:after="20"/>
      </w:pPr>
    </w:p>
    <w:p>
      <w:pPr>
        <w:pStyle w:val="Heading1"/>
      </w:pPr>
      <w:r>
        <w:t>Step 1 — Review the included cases</w:t>
      </w:r>
    </w:p>
    <w:p>
      <w:r>
        <w:rPr>
          <w:rFonts w:ascii="Aptos" w:hAnsi="Aptos"/>
          <w:sz w:val="21"/>
        </w:rPr>
        <w:t>Open website/public/labs/detection-evaluation-cases.csv, or download the CSV from this lab card. Each row includes a case ID, a labelled scenario, process, command line, and rationale. The companion Python script applies a deliberately narrow sample rule and calculates its results. All cases are synthetic.</w:t>
      </w:r>
    </w:p>
    <w:p>
      <w:r>
        <w:rPr>
          <w:rFonts w:ascii="Aptos" w:hAnsi="Aptos" w:eastAsia="Aptos"/>
          <w:b w:val="0"/>
          <w:i w:val="0"/>
          <w:color w:val="12263A"/>
          <w:sz w:val="21"/>
        </w:rPr>
        <w:t>From the website folder, run: python public/labs/evaluate-detection-cases.py public/labs/detection-evaluation-cases.csv</w:t>
      </w:r>
    </w:p>
    <w:p>
      <w:pPr>
        <w:pStyle w:val="Heading1"/>
      </w:pPr>
      <w:r>
        <w:t>Step 2 — Count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Actual label</w:t>
            </w:r>
          </w:p>
        </w:tc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Rule alerts</w:t>
            </w:r>
          </w:p>
        </w:tc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Suspicious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Yes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True positive (TP)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Benign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Yes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False positive (FP)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Benign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No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True negative (TN)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Suspicious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No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False negative (FN)</w:t>
            </w:r>
          </w:p>
        </w:tc>
      </w:tr>
    </w:tbl>
    <w:p>
      <w:r>
        <w:br w:type="page"/>
      </w:r>
    </w:p>
    <w:p>
      <w:pPr>
        <w:pStyle w:val="Heading1"/>
      </w:pPr>
      <w:r>
        <w:t>Step 3 — Use the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Formula</w:t>
            </w:r>
          </w:p>
        </w:tc>
        <w:tc>
          <w:tcPr>
            <w:tcW w:type="dxa" w:w="3360"/>
            <w:shd w:fill="12263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What it tells you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Accuracy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(TP + TN) / all cases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Overall correctness; can mislead on imbalanced data.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Precision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TP / (TP + FP)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How many alerts were true positives in the labelled set.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Recall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TP / (TP + FN)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How many labelled suspicious cases were detected.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Specificity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TN / (TN + FP)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6F8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How many labelled benign cases were correctly ignored.</w:t>
            </w:r>
          </w:p>
        </w:tc>
      </w:tr>
      <w:tr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F1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2 × P × R / (P + R)</w:t>
            </w:r>
          </w:p>
        </w:tc>
        <w:tc>
          <w:tcPr>
            <w:tcW w:type="dxa" w:w="33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 w:eastAsia="Aptos"/>
                <w:b w:val="0"/>
                <w:i w:val="0"/>
                <w:color w:val="12263A"/>
                <w:sz w:val="17"/>
              </w:rPr>
              <w:t>Harmonic mean of precision and recall.</w:t>
            </w:r>
          </w:p>
        </w:tc>
      </w:tr>
    </w:tbl>
    <w:p>
      <w:pPr>
        <w:pStyle w:val="Heading1"/>
      </w:pPr>
      <w:r>
        <w:t>Step 4 — Experiment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1. </w:t>
      </w:r>
      <w:r>
        <w:rPr>
          <w:rFonts w:ascii="Aptos" w:hAnsi="Aptos" w:eastAsia="Aptos"/>
          <w:b w:val="0"/>
          <w:i w:val="0"/>
          <w:color w:val="12263A"/>
          <w:sz w:val="21"/>
        </w:rPr>
        <w:t>Record the baseline counts (TP, FP, TN, FN) before changing a rule.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2. </w:t>
      </w:r>
      <w:r>
        <w:rPr>
          <w:rFonts w:ascii="Aptos" w:hAnsi="Aptos" w:eastAsia="Aptos"/>
          <w:b w:val="0"/>
          <w:i w:val="0"/>
          <w:color w:val="12263A"/>
          <w:sz w:val="21"/>
        </w:rPr>
        <w:t>Inspect each false positive. Is the rule too broad, or is context missing?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3. </w:t>
      </w:r>
      <w:r>
        <w:rPr>
          <w:rFonts w:ascii="Aptos" w:hAnsi="Aptos" w:eastAsia="Aptos"/>
          <w:b w:val="0"/>
          <w:i w:val="0"/>
          <w:color w:val="12263A"/>
          <w:sz w:val="21"/>
        </w:rPr>
        <w:t>Inspect each false negative. What relevant field or event pattern is missing?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4. </w:t>
      </w:r>
      <w:r>
        <w:rPr>
          <w:rFonts w:ascii="Aptos" w:hAnsi="Aptos" w:eastAsia="Aptos"/>
          <w:b w:val="0"/>
          <w:i w:val="0"/>
          <w:color w:val="12263A"/>
          <w:sz w:val="21"/>
        </w:rPr>
        <w:t>Change one condition at a time in your own local practice copy.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5. </w:t>
      </w:r>
      <w:r>
        <w:rPr>
          <w:rFonts w:ascii="Aptos" w:hAnsi="Aptos" w:eastAsia="Aptos"/>
          <w:b w:val="0"/>
          <w:i w:val="0"/>
          <w:color w:val="12263A"/>
          <w:sz w:val="21"/>
        </w:rPr>
        <w:t>Re-run the same dataset and compare counts. Keep both baseline and revised results.</w:t>
      </w:r>
    </w:p>
    <w:p>
      <w:pPr>
        <w:spacing w:after="60"/>
        <w:ind w:left="317" w:hanging="317"/>
      </w:pPr>
      <w:r>
        <w:rPr>
          <w:rFonts w:ascii="Aptos" w:hAnsi="Aptos" w:eastAsia="Aptos"/>
          <w:b/>
          <w:i w:val="0"/>
          <w:color w:val="137A63"/>
          <w:sz w:val="21"/>
        </w:rPr>
        <w:t xml:space="preserve">6. </w:t>
      </w:r>
      <w:r>
        <w:rPr>
          <w:rFonts w:ascii="Aptos" w:hAnsi="Aptos" w:eastAsia="Aptos"/>
          <w:b w:val="0"/>
          <w:i w:val="0"/>
          <w:color w:val="12263A"/>
          <w:sz w:val="21"/>
        </w:rPr>
        <w:t>Do not tune on a small set and then present that same score as independent validation.</w:t>
      </w:r>
    </w:p>
    <w:p>
      <w:pPr>
        <w:pStyle w:val="Heading1"/>
      </w:pPr>
      <w:r>
        <w:t>Step 5 — Write a reproducible report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Dataset filename and version.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Number of cases and label distribution.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Rule logic and required log fields.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TP, FP, TN, FN and calculated metrics.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Two examples of false positives or false negatives, if present.</w:t>
      </w:r>
    </w:p>
    <w:p>
      <w:pPr>
        <w:pStyle w:val="ListBullet"/>
        <w:spacing w:after="40"/>
      </w:pPr>
      <w:r>
        <w:rPr>
          <w:rFonts w:ascii="Aptos" w:hAnsi="Aptos" w:eastAsia="Aptos"/>
          <w:b w:val="0"/>
          <w:i w:val="0"/>
          <w:color w:val="12263A"/>
          <w:sz w:val="21"/>
        </w:rPr>
        <w:t>Limitations, environment, and the next experiment.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2459A9"/>
                <w:sz w:val="18"/>
              </w:rPr>
              <w:t xml:space="preserve">ADVANCED HABIT  </w:t>
            </w:r>
            <w:r>
              <w:rPr>
                <w:rFonts w:ascii="Aptos" w:hAnsi="Aptos" w:eastAsia="Aptos"/>
                <w:b w:val="0"/>
                <w:i w:val="0"/>
                <w:color w:val="12263A"/>
                <w:sz w:val="20"/>
              </w:rPr>
              <w:t>Separate development data from a held-out evaluation set when the dataset is large enough. Review labels, duplicates, and scenario coverage.</w:t>
            </w:r>
          </w:p>
        </w:tc>
      </w:tr>
    </w:tbl>
    <w:p>
      <w:pPr>
        <w:spacing w:after="2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OPENCYBERPATH FIELD NOTEBOOK - MATCHED EXTERNAL PRACTICE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A real lab for these notes</w:t>
      </w:r>
    </w:p>
    <w:p>
      <w:pPr>
        <w:spacing w:before="0" w:after="80" w:line="240" w:lineRule="auto"/>
      </w:pPr>
      <w:r>
        <w:rPr>
          <w:rFonts w:ascii="Comic Neue" w:hAnsi="Comic Neue" w:eastAsia="Comic Neue"/>
          <w:b w:val="0"/>
          <w:i w:val="0"/>
          <w:color w:val="24344D"/>
          <w:sz w:val="20"/>
        </w:rPr>
        <w:t>Topic: Detection engineering, labelled examples, and performance metrics. These pages connect the existing OpenCyberPath notes to specific provider-hosted exercises. The card label is intentionally generic; the exact task name and direct URL are listed here so you can open the right exercise instead of a whole catalogue.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Concept checkpoints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Treat the bundled labelled CSV as a fixed, synthetic test set.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TP = suspicious and alert; FP = benign and alert; TN = benign and no alert; FN = suspicious and no alert.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Precision is TP/(TP+FP); recall is TP/(TP+FN). Zero denominators need careful handling.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A tiny synthetic score is a teaching aid, not a real-world performance claim.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Sigma 101  </w:t>
      </w:r>
      <w:r>
        <w:rPr>
          <w:rFonts w:ascii="Comic Neue" w:hAnsi="Comic Neue" w:eastAsia="Comic Neue"/>
          <w:b w:val="0"/>
          <w:i/>
          <w:color w:val="007B89"/>
          <w:sz w:val="17"/>
        </w:rPr>
        <w:t>[CyberDefenders]</w:t>
      </w:r>
    </w:p>
    <w:p>
      <w:pPr>
        <w:spacing w:before="0" w:after="20" w:line="240" w:lineRule="auto"/>
      </w:pPr>
      <w:hyperlink r:id="rId11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https://cyberdefenders.org/blueteam-ctf-challenges/sigma-101/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Direct challenge page for a Sigma detection exercise. Sign-in, downloadable artefacts, and availability/access tier can vary; verify the page before starting.</w:t>
      </w:r>
    </w:p>
    <w:p>
      <w:pPr>
        <w:keepNext/>
        <w:spacing w:before="0" w:after="0" w:line="240" w:lineRule="auto"/>
      </w:pPr>
      <w:r>
        <w:rPr>
          <w:rFonts w:ascii="Comic Neue" w:hAnsi="Comic Neue" w:eastAsia="Comic Neue"/>
          <w:b/>
          <w:i w:val="0"/>
          <w:color w:val="213A58"/>
          <w:sz w:val="20"/>
        </w:rPr>
        <w:t xml:space="preserve">Splunk: Exploring SPL  </w:t>
      </w:r>
      <w:r>
        <w:rPr>
          <w:rFonts w:ascii="Comic Neue" w:hAnsi="Comic Neue" w:eastAsia="Comic Neue"/>
          <w:b w:val="0"/>
          <w:i/>
          <w:color w:val="007B89"/>
          <w:sz w:val="17"/>
        </w:rPr>
        <w:t>[TryHackMe]</w:t>
      </w:r>
    </w:p>
    <w:p>
      <w:pPr>
        <w:spacing w:before="0" w:after="20" w:line="240" w:lineRule="auto"/>
      </w:pPr>
      <w:hyperlink r:id="rId12">
        <w:r>
          <w:rPr>
            <w:color w:val="1465A8"/>
            <w:u w:val="single"/>
            <w:rFonts w:ascii="DejaVu Sans Mono" w:hAnsi="DejaVu Sans Mono" w:eastAsia="DejaVu Sans Mono"/>
            <w:sz w:val="15"/>
          </w:rPr>
          <w:t>https://tryhackme.com/room/splunkexploringspl</w:t>
        </w:r>
      </w:hyperlink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E6D7E"/>
          <w:sz w:val="17"/>
        </w:rPr>
        <w:t>Access note: Sign-in required; verify current access. The room provides hands-on SPL practice in its own environment.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F4F2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087F8C"/>
                <w:sz w:val="18"/>
              </w:rPr>
              <w:t xml:space="preserve">ACCESS CHECK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Open the exact task page and verify the current login, account tier, VM launch button, free/paid terms, and any cost notes before starting. A provider may change availability or retire a challenge.</w:t>
            </w:r>
          </w:p>
        </w:tc>
      </w:tr>
    </w:tbl>
    <w:p>
      <w:pPr>
        <w:spacing w:after="0"/>
      </w:pP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Before you click Start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Write down the provider’s target/scope and use only the instance it creates for you.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Keep this notebook beside the exercise. Use its original course data before trying commands on a local machine.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Capture timestamps, filenames, row/packet IDs, and a short explanation; redact credentials, tokens, and personal data.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If a page says retired, premium, or downloadable-only, use the alternative listed in the access note or return to the matching interactive lab above.</w:t>
      </w: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COMMAND NOTEBOOK - COPY ONE LINE AT A TIME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Commands you can explain</w:t>
      </w:r>
    </w:p>
    <w:p>
      <w:pPr>
        <w:spacing w:before="0" w:after="80" w:line="240" w:lineRule="auto"/>
      </w:pPr>
      <w:r>
        <w:rPr>
          <w:rFonts w:ascii="Comic Neue" w:hAnsi="Comic Neue" w:eastAsia="Comic Neue"/>
          <w:b/>
          <w:i w:val="0"/>
          <w:color w:val="8B4E24"/>
          <w:sz w:val="19"/>
        </w:rPr>
        <w:t>The evaluator reads fictional CSV rows and prints metrics. Never execute command-line strings from the data.</w:t>
      </w:r>
    </w:p>
    <w:p>
      <w:pPr>
        <w:spacing w:before="0" w:after="100" w:line="240" w:lineRule="auto"/>
      </w:pPr>
      <w:r>
        <w:rPr>
          <w:rFonts w:ascii="Comic Neue" w:hAnsi="Comic Neue" w:eastAsia="Comic Neue"/>
          <w:b w:val="0"/>
          <w:i/>
          <w:color w:val="5A6C7E"/>
          <w:sz w:val="18"/>
        </w:rPr>
        <w:t>First download the matching sample file(s) from the existing card when a command names one. Keep the data in a practice folder and never execute strings stored in evidence.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PYTHON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python .\evaluate-detection-cases.py .\detection-evaluation-cases.csv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Run the supplied local evaluation script using the provided CSV. Keep both files in the same directory.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INSPECT LABELS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.\detection-evaluation-cases.csv | Group-Object activity_label | Select-Object Name,Count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Check the number of benign, suspicious, and ambiguous examples before interpreting results.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POWERSHELL / INSPECT MATCHES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Import-Csv .\detection-evaluation-cases.csv | Select-Object case_id,activity_label,process,command_line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Read the inputs and labels side by side; do not execute command_line values.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LINUX / QUICK VIEW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cut -d, -f1-4 detection-evaluation-cases.csv | head -n 10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Inspect case ID, expected label, process, and command line in the fixture.</w:t>
      </w:r>
    </w:p>
    <w:p>
      <w:pPr>
        <w:keepNext/>
        <w:spacing w:before="60" w:after="0" w:line="240" w:lineRule="auto"/>
      </w:pPr>
      <w:r>
        <w:rPr>
          <w:rFonts w:ascii="Comic Neue" w:hAnsi="Comic Neue" w:eastAsia="Comic Neue"/>
          <w:b/>
          <w:i w:val="0"/>
          <w:color w:val="007B89"/>
          <w:sz w:val="16"/>
        </w:rPr>
        <w:t xml:space="preserve">PYTHON VERSION CHECK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  <w:tcMar>
              <w:top w:w="55" w:type="dxa"/>
              <w:start w:w="110" w:type="dxa"/>
              <w:bottom w:w="55" w:type="dxa"/>
              <w:end w:w="110" w:type="dxa"/>
            </w:tcMar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72E45"/>
                <w:sz w:val="16"/>
              </w:rPr>
              <w:t>python --version</w:t>
            </w:r>
          </w:p>
        </w:tc>
      </w:tr>
    </w:tbl>
    <w:p>
      <w:pPr>
        <w:spacing w:before="0" w:after="60" w:line="240" w:lineRule="auto"/>
      </w:pPr>
      <w:r>
        <w:rPr>
          <w:rFonts w:ascii="Comic Neue" w:hAnsi="Comic Neue" w:eastAsia="Comic Neue"/>
          <w:b w:val="0"/>
          <w:i/>
          <w:color w:val="5D6E80"/>
          <w:sz w:val="17"/>
        </w:rPr>
        <w:t>Confirm the interpreter is available before running the local script.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4F0FF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275D9B"/>
                <w:sz w:val="18"/>
              </w:rPr>
              <w:t xml:space="preserve">COMMAND HABIT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Check the current working directory, shell, target, and expected effect before pressing Enter. Save the exact command and the output that mattered.</w:t>
            </w:r>
          </w:p>
        </w:tc>
      </w:tr>
    </w:tbl>
    <w:p>
      <w:pPr>
        <w:spacing w:after="0"/>
      </w:pPr>
    </w:p>
    <w:p>
      <w:pPr>
        <w:pageBreakBefore/>
        <w:spacing w:before="0" w:after="20" w:line="240" w:lineRule="auto"/>
        <w:jc w:val="right"/>
      </w:pPr>
      <w:r>
        <w:rPr>
          <w:rFonts w:ascii="Comic Neue" w:hAnsi="Comic Neue" w:eastAsia="Comic Neue"/>
          <w:b/>
          <w:i/>
          <w:color w:val="688097"/>
          <w:sz w:val="15"/>
        </w:rPr>
        <w:t>RUN THE EXERCISE - RECORD WHAT THE EVIDENCE REALLY SHOWS</w:t>
      </w:r>
    </w:p>
    <w:p>
      <w:pPr>
        <w:keepNext/>
        <w:spacing w:before="100" w:after="80" w:line="240" w:lineRule="auto"/>
      </w:pPr>
      <w:r>
        <w:rPr>
          <w:rFonts w:ascii="Comic Neue" w:hAnsi="Comic Neue" w:eastAsia="Comic Neue"/>
          <w:b/>
          <w:i/>
          <w:color w:val="087F8C"/>
          <w:sz w:val="34"/>
        </w:rPr>
        <w:t>Guided lab run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1. Download the detection CSV and Python script from the existing lab card.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2. Run the script; record TP, FP, TN, FN, ambiguous count, precision, recall, specificity, and F1.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3. Open each false positive and false negative; explain the exact rule limitation rather than hiding it.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4. Make one rule change at a time, re-run the same labelled cases, and compare the results.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5. Write a short evaluation note including limitations, sample size, and the reason for any rule change.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Evidence checklist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exact lab instance or sample file was used?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Which command/query and time range produced the observation?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is the directly observed fact, separate from your inference?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benign/alternative explanation could fit?</w:t>
      </w:r>
    </w:p>
    <w:p>
      <w:pPr>
        <w:pStyle w:val="ListBullet"/>
        <w:spacing w:before="0" w:after="40" w:line="240" w:lineRule="auto"/>
      </w:pPr>
      <w:r>
        <w:rPr>
          <w:rFonts w:ascii="Comic Neue" w:hAnsi="Comic Neue" w:eastAsia="Comic Neue"/>
          <w:b w:val="0"/>
          <w:i w:val="0"/>
          <w:color w:val="283A50"/>
          <w:sz w:val="19"/>
        </w:rPr>
        <w:t>[ ] What extra record or control would help confirm the conclusion?</w:t>
      </w:r>
    </w:p>
    <w:p>
      <w:pPr>
        <w:keepNext/>
        <w:spacing w:before="40" w:after="80" w:line="240" w:lineRule="auto"/>
      </w:pPr>
      <w:r>
        <w:rPr>
          <w:rFonts w:ascii="Comic Neue" w:hAnsi="Comic Neue" w:eastAsia="Comic Neue"/>
          <w:b/>
          <w:i/>
          <w:color w:val="B34778"/>
          <w:sz w:val="25"/>
        </w:rPr>
        <w:t>Check your understanding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Why exclude ambiguous cases from the binary confusion matrix?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Their label intentionally does not settle benign-versus-suspicious status, so forcing a binary answer would misrepresent the test.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Can 100% precision on nine toy rows prove production quality?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No. It says only how the rule behaved on those particular synthetic rows.</w:t>
      </w:r>
    </w:p>
    <w:p>
      <w:pPr>
        <w:keepNext/>
        <w:spacing w:before="40" w:after="20" w:line="240" w:lineRule="auto"/>
      </w:pPr>
      <w:r>
        <w:rPr>
          <w:rFonts w:ascii="Comic Neue" w:hAnsi="Comic Neue" w:eastAsia="Comic Neue"/>
          <w:b/>
          <w:i/>
          <w:color w:val="B34778"/>
          <w:sz w:val="19"/>
        </w:rPr>
        <w:t>Q  What usually changes when a detection is made broader?</w:t>
      </w:r>
    </w:p>
    <w:p>
      <w:pPr>
        <w:spacing w:before="0" w:after="60" w:line="240" w:lineRule="auto"/>
      </w:pPr>
      <w:r>
        <w:rPr>
          <w:rFonts w:ascii="Comic Neue" w:hAnsi="Comic Neue" w:eastAsia="Comic Neue"/>
          <w:b w:val="0"/>
          <w:i w:val="0"/>
          <w:color w:val="263D52"/>
          <w:sz w:val="18"/>
        </w:rPr>
        <w:t>Think it through: It may catch more variants (higher recall) but can also alert on more benign cases (more false positives).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1C9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before="0" w:after="0" w:line="240" w:lineRule="auto"/>
            </w:pPr>
            <w:r>
              <w:rPr>
                <w:rFonts w:ascii="Comic Neue" w:hAnsi="Comic Neue" w:eastAsia="Comic Neue"/>
                <w:b/>
                <w:i/>
                <w:color w:val="8A5A00"/>
                <w:sz w:val="18"/>
              </w:rPr>
              <w:t xml:space="preserve">NOTEBOOK CLOSE-OUT  </w:t>
            </w:r>
            <w:r>
              <w:rPr>
                <w:rFonts w:ascii="Comic Neue" w:hAnsi="Comic Neue" w:eastAsia="Comic Neue"/>
                <w:b w:val="0"/>
                <w:i w:val="0"/>
                <w:color w:val="2F3E50"/>
                <w:sz w:val="18"/>
              </w:rPr>
              <w:t>Finish with: Observation / Evidence source / Why it matters / Alternative explanation / Next check / Limitation. A careful “not enough evidence yet” is a valid professional result.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97C8C"/>
        <w:sz w:val="16"/>
      </w:rPr>
      <w:t>Learner-built resource • Verify provider docs and lab scope • No job guarantees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i w:val="0"/>
        <w:color w:val="63768A"/>
        <w:sz w:val="16"/>
      </w:rPr>
      <w:t>OPENCYBERPATH  /  FREE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 w:eastAsia="Aptos"/>
      <w:color w:val="1226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37A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459A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26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226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yberdefenders.org/blueteam-ctf-challenges/sigma-101/" TargetMode="External"/><Relationship Id="rId12" Type="http://schemas.openxmlformats.org/officeDocument/2006/relationships/hyperlink" Target="https://tryhackme.com/room/splunkexplorings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 Detection Rule Evaluation</dc:title>
  <dc:subject>Expanded lab companion pages with exact provider links, scoped commands, steps, and checks.</dc:subject>
  <dc:creator>OpenCyberPath community contributors</dc:creator>
  <cp:keywords>OpenCyberPath, hands-on lab, cybersecurity notes, authorized training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