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 w:eastAsia="Aptos Display"/>
          <w:b/>
          <w:i w:val="0"/>
          <w:color w:val="12263A"/>
          <w:sz w:val="48"/>
        </w:rPr>
        <w:t>Lab 03: Detection Tuning &amp; Rule Validation</w:t>
      </w:r>
    </w:p>
    <w:p>
      <w:r>
        <w:rPr>
          <w:rFonts w:ascii="Aptos" w:hAnsi="Aptos" w:eastAsia="Aptos"/>
          <w:b w:val="0"/>
          <w:i/>
          <w:color w:val="137A63"/>
          <w:sz w:val="24"/>
        </w:rPr>
        <w:t>An advanced exercise in understanding the recall / false-positive trade-off</w:t>
      </w:r>
    </w:p>
    <w:p>
      <w:pPr>
        <w:pStyle w:val="Heading1"/>
      </w:pPr>
      <w:r>
        <w:t>Learning goals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2263A"/>
          <w:sz w:val="21"/>
        </w:rPr>
        <w:t>Run a narrow rule against a known, versioned set of synthetic cases.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2263A"/>
          <w:sz w:val="21"/>
        </w:rPr>
        <w:t>Explain how a rule can miss a process variant and trigger on legitimate activity.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2263A"/>
          <w:sz w:val="21"/>
        </w:rPr>
        <w:t>Make one controlled rule change and compare the resulting metrics.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2263A"/>
          <w:sz w:val="21"/>
        </w:rPr>
        <w:t>Write a compact detection specification that another learner can reproduce.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8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946018"/>
                <w:sz w:val="18"/>
              </w:rPr>
              <w:t xml:space="preserve">SCOPE  </w:t>
            </w:r>
            <w:r>
              <w:rPr>
                <w:rFonts w:ascii="Aptos" w:hAnsi="Aptos" w:eastAsia="Aptos"/>
                <w:b w:val="0"/>
                <w:i w:val="0"/>
                <w:color w:val="12263A"/>
                <w:sz w:val="20"/>
              </w:rPr>
              <w:t>This exercise uses synthetic CSV records and redacted placeholders. Do not run placeholder command lines. No malware, live scanning, or cloud resources are required.</w:t>
            </w:r>
          </w:p>
        </w:tc>
      </w:tr>
    </w:tbl>
    <w:p>
      <w:pPr>
        <w:pStyle w:val="Heading1"/>
      </w:pPr>
      <w:r>
        <w:t>Part A — Capture the baseline</w:t>
      </w:r>
    </w:p>
    <w:p>
      <w:r>
        <w:t>From the website folder, run this command in PowerShell or a terminal:</w:t>
      </w:r>
      <w:r>
        <w:rPr>
          <w:rFonts w:ascii="Consolas" w:hAnsi="Consolas" w:eastAsia="Consolas"/>
          <w:b w:val="0"/>
          <w:i w:val="0"/>
          <w:color w:val="2459A9"/>
          <w:sz w:val="18"/>
        </w:rPr>
        <w:t>python public/labs/evaluate-detection-cases.py public/labs/detection-evaluation-cases.csv</w:t>
      </w:r>
    </w:p>
    <w:p>
      <w:r>
        <w:rPr>
          <w:rFonts w:ascii="Aptos" w:hAnsi="Aptos" w:eastAsia="Aptos"/>
          <w:b w:val="0"/>
          <w:i w:val="0"/>
          <w:color w:val="12263A"/>
          <w:sz w:val="21"/>
        </w:rPr>
        <w:t>Record the TP, FP, TN, FN counts and the metrics printed by the script. The script implements an intentionally narrow teaching rule: process name must be powershell.exe and the command line must include an -enc or -encodedcommand argument token.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2459A9"/>
                <w:sz w:val="18"/>
              </w:rPr>
              <w:t xml:space="preserve">BASELINE HYPOTHESIS  </w:t>
            </w:r>
            <w:r>
              <w:rPr>
                <w:rFonts w:ascii="Aptos" w:hAnsi="Aptos" w:eastAsia="Aptos"/>
                <w:b w:val="0"/>
                <w:i w:val="0"/>
                <w:color w:val="12263A"/>
                <w:sz w:val="20"/>
              </w:rPr>
              <w:t>The narrow rule should miss the synthetic pwsh.exe case, and it should flag the labelled benign encoded-maintenance case. That gives us both a false negative and a false positive to study.</w:t>
            </w:r>
          </w:p>
        </w:tc>
      </w:tr>
    </w:tbl>
    <w:p>
      <w:pPr>
        <w:pStyle w:val="Heading1"/>
      </w:pPr>
      <w:r>
        <w:t>Part B — Inspect the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2263A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Case</w:t>
            </w:r>
          </w:p>
        </w:tc>
        <w:tc>
          <w:tcPr>
            <w:tcW w:type="dxa" w:w="3360"/>
            <w:shd w:fill="12263A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What happens in baseline</w:t>
            </w:r>
          </w:p>
        </w:tc>
        <w:tc>
          <w:tcPr>
            <w:tcW w:type="dxa" w:w="3360"/>
            <w:shd w:fill="12263A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Question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case-007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powershell.exe with encoded marker; labelled benign; rule alerts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What context is needed before deciding whether this is malicious?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case-008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pwsh.exe with encoded marker; labelled suspicious; rule misses it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Which process-name assumption caused the false negative?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case-009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pwsh.exe with encoded marker; labelled benign; rule does not alert in baseline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What may happen to false positives if pwsh.exe is added to the rule?</w:t>
            </w:r>
          </w:p>
        </w:tc>
      </w:tr>
    </w:tbl>
    <w:p>
      <w:r>
        <w:br w:type="page"/>
      </w:r>
    </w:p>
    <w:p>
      <w:pPr>
        <w:pStyle w:val="Heading1"/>
      </w:pPr>
      <w:r>
        <w:t>Part C — Make one change</w:t>
      </w:r>
    </w:p>
    <w:p>
      <w:r>
        <w:t>In a local copy of public/labs/evaluate-detection-cases.py, expand the process-name condition to include pwsh.exe as well as powershell.exe. Do not change any labels in the CSV. Run the same command again.</w:t>
      </w:r>
      <w:r>
        <w:rPr>
          <w:rFonts w:ascii="Aptos" w:hAnsi="Aptos" w:eastAsia="Aptos"/>
          <w:b w:val="0"/>
          <w:i w:val="0"/>
          <w:color w:val="12263A"/>
          <w:sz w:val="21"/>
        </w:rPr>
        <w:t xml:space="preserve"> Keep the original script so you can compare the baseline and revised behavior.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2263A"/>
          <w:sz w:val="21"/>
        </w:rPr>
        <w:t>Confirm case-008 now alerts.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2263A"/>
          <w:sz w:val="21"/>
        </w:rPr>
        <w:t>Confirm case-009 now alerts too, creating a false positive against its benign label.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2263A"/>
          <w:sz w:val="21"/>
        </w:rPr>
        <w:t>Compare recall, precision, specificity, and F1 between the baseline and revised version.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2263A"/>
          <w:sz w:val="21"/>
        </w:rPr>
        <w:t>Write down which metric improved, which worsened, and why.</w:t>
      </w:r>
    </w:p>
    <w:p>
      <w:pPr>
        <w:pStyle w:val="ListNumber"/>
      </w:pPr>
      <w:r>
        <w:rPr>
          <w:rFonts w:ascii="Aptos" w:hAnsi="Aptos" w:eastAsia="Aptos"/>
          <w:b w:val="0"/>
          <w:i w:val="0"/>
          <w:color w:val="12263A"/>
          <w:sz w:val="21"/>
        </w:rPr>
        <w:t>Revert the change or save it as a separate version and record the rule version in your report.</w:t>
      </w:r>
    </w:p>
    <w:p>
      <w:pPr>
        <w:pStyle w:val="Heading1"/>
      </w:pPr>
      <w:r>
        <w:t>Discussion: expected trade-off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2263A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360"/>
            <w:shd w:fill="12263A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Narrow baseline</w:t>
            </w:r>
          </w:p>
        </w:tc>
        <w:tc>
          <w:tcPr>
            <w:tcW w:type="dxa" w:w="3360"/>
            <w:shd w:fill="12263A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With pwsh.exe added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TP / FP / TN / FN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2 / 1 / 4 / 1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3 / 2 / 3 / 0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Recall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0.667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1.000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Precision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0.667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0.600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Specificity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0.800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0.600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F1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0.667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8"/>
              </w:rPr>
              <w:t>0.750</w:t>
            </w:r>
          </w:p>
        </w:tc>
      </w:tr>
    </w:tbl>
    <w:p>
      <w:r>
        <w:rPr>
          <w:rFonts w:ascii="Aptos" w:hAnsi="Aptos" w:eastAsia="Aptos"/>
          <w:b w:val="0"/>
          <w:i/>
          <w:color w:val="64737D"/>
          <w:sz w:val="19"/>
        </w:rPr>
        <w:t>These are the expected results for this deliberately constructed training corpus. They illustrate a rule trade-off, not the accuracy expected in a real environment. The CSV labels are manually assigned and the dataset is tiny.</w:t>
      </w:r>
    </w:p>
    <w:p>
      <w:pPr>
        <w:pStyle w:val="Heading1"/>
      </w:pPr>
      <w:r>
        <w:t>Part D — Write a detection specification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2263A"/>
          <w:sz w:val="21"/>
        </w:rPr>
        <w:t>Rule ID and version.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2263A"/>
          <w:sz w:val="21"/>
        </w:rPr>
        <w:t>Purpose and observable behavior being detected.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2263A"/>
          <w:sz w:val="21"/>
        </w:rPr>
        <w:t>Required log source and exact fields.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2263A"/>
          <w:sz w:val="21"/>
        </w:rPr>
        <w:t>Detection logic and process-name normalization assumptions.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2263A"/>
          <w:sz w:val="21"/>
        </w:rPr>
        <w:t>Known false positives and likely blind spots.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2263A"/>
          <w:sz w:val="21"/>
        </w:rPr>
        <w:t>Test corpus version, counts, metrics, and exclusions.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2263A"/>
          <w:sz w:val="21"/>
        </w:rPr>
        <w:t>Recommended analyst checks and what cannot be concluded from the alert alone.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5ED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137A63"/>
                <w:sz w:val="18"/>
              </w:rPr>
              <w:t xml:space="preserve">ADVANCED HABIT  </w:t>
            </w:r>
            <w:r>
              <w:rPr>
                <w:rFonts w:ascii="Aptos" w:hAnsi="Aptos" w:eastAsia="Aptos"/>
                <w:b w:val="0"/>
                <w:i w:val="0"/>
                <w:color w:val="12263A"/>
                <w:sz w:val="20"/>
              </w:rPr>
              <w:t>Do not optimize for a single metric in isolation. Select trade-offs using the use case, log quality, investigation capacity, and a representative evaluation set.</w:t>
            </w:r>
          </w:p>
        </w:tc>
      </w:tr>
    </w:tbl>
    <w:p>
      <w:pPr>
        <w:pStyle w:val="Heading1"/>
      </w:pPr>
      <w:r>
        <w:t>Further reading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37A63"/>
          <w:sz w:val="19"/>
        </w:rPr>
        <w:t>Sigma rule repository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37A63"/>
          <w:sz w:val="19"/>
        </w:rPr>
        <w:t>Sigma specification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37A63"/>
          <w:sz w:val="19"/>
        </w:rPr>
        <w:t>MITRE ATT&amp;CK</w:t>
      </w: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OPENCYBERPATH FIELD NOTEBOOK - MATCHED EXTERNAL PRACTICE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A real lab for these notes</w:t>
      </w:r>
    </w:p>
    <w:p>
      <w:pPr>
        <w:spacing w:before="0" w:after="80" w:line="240" w:lineRule="auto"/>
      </w:pPr>
      <w:r>
        <w:rPr>
          <w:rFonts w:ascii="Comic Neue" w:hAnsi="Comic Neue" w:eastAsia="Comic Neue"/>
          <w:b w:val="0"/>
          <w:i w:val="0"/>
          <w:color w:val="24344D"/>
          <w:sz w:val="20"/>
        </w:rPr>
        <w:t>Topic: Tune detection rules, compare false positives, and validate on a fixed sample. These pages connect the existing OpenCyberPath notes to specific provider-hosted exercises. The card label is intentionally generic; the exact task name and direct URL are listed here so you can open the right exercise instead of a whole catalogue.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Concept checkpoints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Change one condition at a time and keep a record of the baseline.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A narrow process-name match can miss variants such as pwsh.exe.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Broadening a rule changes the false-positive/false-negative trade-off.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YARA rules should first be tested against intentionally provided sample fixtures, never unknown files.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Yara Wizards  </w:t>
      </w:r>
      <w:r>
        <w:rPr>
          <w:rFonts w:ascii="Comic Neue" w:hAnsi="Comic Neue" w:eastAsia="Comic Neue"/>
          <w:b w:val="0"/>
          <w:i/>
          <w:color w:val="007B89"/>
          <w:sz w:val="17"/>
        </w:rPr>
        <w:t>[CyberDefenders]</w:t>
      </w:r>
    </w:p>
    <w:p>
      <w:pPr>
        <w:spacing w:before="0" w:after="20" w:line="240" w:lineRule="auto"/>
      </w:pPr>
      <w:hyperlink r:id="rId11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https://cyberdefenders.org/blueteam-ctf-challenges/yara-wizards/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Direct detection-engineering challenge page. Sign-in, downloadable sample files, and current access tier can vary; inspect the page before starting.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Sigma 101  </w:t>
      </w:r>
      <w:r>
        <w:rPr>
          <w:rFonts w:ascii="Comic Neue" w:hAnsi="Comic Neue" w:eastAsia="Comic Neue"/>
          <w:b w:val="0"/>
          <w:i/>
          <w:color w:val="007B89"/>
          <w:sz w:val="17"/>
        </w:rPr>
        <w:t>[CyberDefenders]</w:t>
      </w:r>
    </w:p>
    <w:p>
      <w:pPr>
        <w:spacing w:before="0" w:after="20" w:line="240" w:lineRule="auto"/>
      </w:pPr>
      <w:hyperlink r:id="rId12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https://cyberdefenders.org/blueteam-ctf-challenges/sigma-101/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Direct challenge page for Sigma rules; check whether the current challenge is downloadable and what tools are required.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F4F2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087F8C"/>
                <w:sz w:val="18"/>
              </w:rPr>
              <w:t xml:space="preserve">ACCESS CHECK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Open the exact task page and verify the current login, account tier, VM launch button, free/paid terms, and any cost notes before starting. A provider may change availability or retire a challenge.</w:t>
            </w:r>
          </w:p>
        </w:tc>
      </w:tr>
    </w:tbl>
    <w:p>
      <w:pPr>
        <w:spacing w:after="0"/>
      </w:pP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Before you click Start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Write down the provider’s target/scope and use only the instance it creates for you.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Keep this notebook beside the exercise. Use its original course data before trying commands on a local machine.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Capture timestamps, filenames, row/packet IDs, and a short explanation; redact credentials, tokens, and personal data.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If a page says retired, premium, or downloadable-only, use the alternative listed in the access note or return to the matching interactive lab above.</w:t>
      </w: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COMMAND NOTEBOOK - COPY ONE LINE AT A TIME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Commands you can explain</w:t>
      </w:r>
    </w:p>
    <w:p>
      <w:pPr>
        <w:spacing w:before="0" w:after="80" w:line="240" w:lineRule="auto"/>
      </w:pPr>
      <w:r>
        <w:rPr>
          <w:rFonts w:ascii="Comic Neue" w:hAnsi="Comic Neue" w:eastAsia="Comic Neue"/>
          <w:b/>
          <w:i w:val="0"/>
          <w:color w:val="8B4E24"/>
          <w:sz w:val="19"/>
        </w:rPr>
        <w:t>Only test rules against the packaged training rows or files provided by the named challenge. No malware is required for this notebook.</w:t>
      </w:r>
    </w:p>
    <w:p>
      <w:pPr>
        <w:spacing w:before="0" w:after="100" w:line="240" w:lineRule="auto"/>
      </w:pPr>
      <w:r>
        <w:rPr>
          <w:rFonts w:ascii="Comic Neue" w:hAnsi="Comic Neue" w:eastAsia="Comic Neue"/>
          <w:b w:val="0"/>
          <w:i/>
          <w:color w:val="5A6C7E"/>
          <w:sz w:val="18"/>
        </w:rPr>
        <w:t>First download the matching sample file(s) from the existing card when a command names one. Keep the data in a practice folder and never execute strings stored in evidence.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PYTHON / BASELINE RUN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python .\evaluate-detection-cases.py .\detection-evaluation-cases.csv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Save the original result before changing the detection logic.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/ INSPECT PROCESS VARIANTS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Import-Csv .\detection-evaluation-cases.csv | Group-Object process | Select-Object Name,Count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Find which process names are included in the test set.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/ REVIEW FALSE POSITIVES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Import-Csv .\detection-evaluation-cases.csv | Where-Object {$_.activity_label -eq 'benign'} | Format-Table case_id,process,command_line -AutoSize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Read benign cases that a broad rule might match. Do not execute command_line values.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YARA / INSPECT INSTALLED TOOL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yara --version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Confirm YARA is installed before using the provider’s sample set.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YARA / SCAN ONLY SUPPLIED FIXTURES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yara .\training-marker.yar .\training-fixtures\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Example pattern only: use the rule and directory names supplied by the assigned lab; never aim a test rule at arbitrary system directories.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4F0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275D9B"/>
                <w:sz w:val="18"/>
              </w:rPr>
              <w:t xml:space="preserve">COMMAND HABIT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Check the current working directory, shell, target, and expected effect before pressing Enter. Save the exact command and the output that mattered.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RUN THE EXERCISE - RECORD WHAT THE EVIDENCE REALLY SHOWS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Guided lab run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1. Open the direct YARA or Sigma challenge and read the required tool list.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2. Record the rule’s original purpose, log source, fields, and expected activity before editing it.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3. Run the baseline evaluator against the unchanged sample CSV.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4. Make one controlled change (for example, add a known benign exclusion or document a missing process variant), then re-run.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5. Compare each confusion-matrix count and include a short rationale for any increase in false positives or false negatives.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Evidence checklist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exact lab instance or sample file was used?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Which command/query and time range produced the observation?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is the directly observed fact, separate from your inference?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benign/alternative explanation could fit?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extra record or control would help confirm the conclusion?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Check your understanding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Why is a single-change experiment easier to explain?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It makes the effect of that change easier to attribute and reproduce.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Can YARA prove a file is malicious from one string match?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No. A match is a clue; inspect file context, source, signatures, hashes, and other evidence.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What needs to accompany the final tuned rule?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Log source, required fields, test corpus version, metrics, exclusions, false-positive notes, and limitations.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1C9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8A5A00"/>
                <w:sz w:val="18"/>
              </w:rPr>
              <w:t xml:space="preserve">NOTEBOOK CLOSE-OUT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Finish with: Observation / Evidence source / Why it matters / Alternative explanation / Next check / Limitation. A careful “not enough evidence yet” is a valid professional result.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97C8C"/>
        <w:sz w:val="16"/>
      </w:rPr>
      <w:t>Synthetic training data only • Validate in authorised labs • No job guarantees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63768A"/>
        <w:sz w:val="16"/>
      </w:rPr>
      <w:t>OPENCYBERPATH  /  ADVANCED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60" w:after="80"/>
    </w:pPr>
    <w:rPr>
      <w:rFonts w:ascii="Aptos" w:hAnsi="Aptos" w:eastAsia="Aptos"/>
      <w:b w:val="0"/>
      <w:color w:val="1226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37A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9A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yberdefenders.org/blueteam-ctf-challenges/yara-wizards/" TargetMode="External"/><Relationship Id="rId12" Type="http://schemas.openxmlformats.org/officeDocument/2006/relationships/hyperlink" Target="https://cyberdefenders.org/blueteam-ctf-challenges/sigma-1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03 Detection Tuning and Rule Validation</dc:title>
  <dc:subject>Expanded lab companion pages with exact provider links, scoped commands, steps, and checks.</dc:subject>
  <dc:creator>OpenCyberPath community contributors</dc:creator>
  <cp:keywords>OpenCyberPath, hands-on lab, cybersecurity notes, authorized training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