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omic Neue" w:hAnsi="Comic Neue" w:eastAsia="Comic Neue"/>
          <w:b/>
          <w:i w:val="0"/>
          <w:color w:val="1D4C83"/>
          <w:sz w:val="50"/>
        </w:rPr>
        <w:t>Threat Hunting: Find the Story in the Logs</w:t>
      </w:r>
    </w:p>
    <w:p>
      <w:pPr>
        <w:spacing w:after="160"/>
      </w:pPr>
      <w:r>
        <w:rPr>
          <w:rFonts w:ascii="Comic Neue" w:hAnsi="Comic Neue" w:eastAsia="Comic Neue"/>
          <w:b w:val="0"/>
          <w:i/>
          <w:color w:val="2D73A8"/>
          <w:sz w:val="22"/>
        </w:rPr>
        <w:t>A beginner notebook for forming a hypothesis, exploring synthetic events, and writing evidence-based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AF6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i w:val="0"/>
                <w:color w:val="2D73A8"/>
                <w:sz w:val="16"/>
              </w:rPr>
              <w:t xml:space="preserve">NOTEBOOK STYLE  </w:t>
            </w:r>
            <w:r>
              <w:rPr>
                <w:rFonts w:ascii="Aptos" w:hAnsi="Aptos" w:eastAsia="Aptos"/>
                <w:b w:val="0"/>
                <w:i w:val="0"/>
                <w:color w:val="102637"/>
                <w:sz w:val="18"/>
              </w:rPr>
              <w:t>Handwriting-inspired typeset notes for printing and revision; not a scan of actual handwriting.</w:t>
            </w:r>
          </w:p>
        </w:tc>
      </w:tr>
    </w:tbl>
    <w:p>
      <w:pPr>
        <w:spacing w:after="0"/>
      </w:pPr>
    </w:p>
    <w:p>
      <w:pPr>
        <w:pStyle w:val="Heading1"/>
      </w:pPr>
      <w:r>
        <w:t>1. What is threat hunting?</w:t>
      </w:r>
    </w:p>
    <w:p>
      <w:r>
        <w:rPr>
          <w:rFonts w:ascii="Comic Neue" w:hAnsi="Comic Neue" w:eastAsia="Comic Neue"/>
          <w:b w:val="0"/>
          <w:i w:val="0"/>
          <w:color w:val="1D4C83"/>
          <w:sz w:val="20"/>
        </w:rPr>
        <w:t>Threat hunting is a structured search for suspicious patterns that routine alerts may not have surfaced. A hunter starts with a question, examines available telemetry, compares activity with a normal baseline, and documents what the evidence does and does not show.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FFF1C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i w:val="0"/>
                <w:color w:val="9A6415"/>
                <w:sz w:val="16"/>
              </w:rPr>
              <w:t xml:space="preserve">THE MINDSET  </w:t>
            </w:r>
            <w:r>
              <w:rPr>
                <w:rFonts w:ascii="Aptos" w:hAnsi="Aptos" w:eastAsia="Aptos"/>
                <w:b w:val="0"/>
                <w:i w:val="0"/>
                <w:color w:val="102637"/>
                <w:sz w:val="18"/>
              </w:rPr>
              <w:t>A pattern is a clue, not proof. Keep facts, assumptions, and unknowns separate.</w:t>
            </w:r>
          </w:p>
        </w:tc>
      </w:tr>
    </w:tbl>
    <w:p>
      <w:pPr>
        <w:spacing w:after="0"/>
      </w:pPr>
    </w:p>
    <w:p>
      <w:pPr>
        <w:pStyle w:val="Heading1"/>
      </w:pPr>
      <w:r>
        <w:t>2. A simple hunting loop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1.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Ask a focused question, such as “Do several failed logins precede a successful login in this sample?”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2.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Choose relevant records and fields: time, user, host, source address, event type, result.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3.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Set a clear time window and sort events chronologically.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4.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Compare the pattern with the expected baseline and nearby context.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5.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Validate the pattern against other benign explanations.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6.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Write a short finding with evidence, confidence, limitations, and a next check.</w:t>
      </w:r>
    </w:p>
    <w:p>
      <w:pPr>
        <w:pStyle w:val="Heading1"/>
      </w:pPr>
      <w:r>
        <w:t>3. Read the sample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Plain-language meaning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timestamp_utc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When the training event was recorded (UTC).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host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Synthetic device name, not a real asset.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user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Synthetic account label.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event_type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The kind of activity represented.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source_ip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Reserved documentation IP space used in training data.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result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Success, failure, allowed, or blocked.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label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Teaching label to support discussion; not a real incident verdict.</w:t>
            </w:r>
          </w:p>
        </w:tc>
      </w:tr>
    </w:tbl>
    <w:p>
      <w:pPr>
        <w:pStyle w:val="Heading1"/>
      </w:pPr>
      <w:r>
        <w:t>4. Practice: investigate a login pattern</w:t>
      </w:r>
    </w:p>
    <w:p>
      <w:r>
        <w:rPr>
          <w:rFonts w:ascii="Comic Neue" w:hAnsi="Comic Neue" w:eastAsia="Comic Neue"/>
          <w:b w:val="0"/>
          <w:i w:val="0"/>
          <w:color w:val="1D4C83"/>
          <w:sz w:val="20"/>
        </w:rPr>
        <w:t>Open threat-hunt-auth-dns-samples.csv. Every row is fabricated. Look for one account with several failures followed by a success, then check time, host, and source context.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1.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Record the case IDs and timestamps that support your hypothesis.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2.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Check whether the account and host appear elsewhere in the same sample.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3.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Write one plausible benign explanation and one alternative explanation.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4.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Identify at least two additional data sources you would seek in a real, authorised investigation.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5.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State whether the evidence supports, weakens, or leaves the hypothesis unresolved.</w:t>
      </w:r>
    </w:p>
    <w:p>
      <w:pPr>
        <w:pStyle w:val="Heading1"/>
      </w:pPr>
      <w:r>
        <w:t>5. Query-thinking example</w:t>
      </w:r>
    </w:p>
    <w:p>
      <w:r>
        <w:rPr>
          <w:rFonts w:ascii="Comic Neue" w:hAnsi="Comic Neue" w:eastAsia="Comic Neue"/>
          <w:b w:val="0"/>
          <w:i w:val="0"/>
          <w:color w:val="1D4C83"/>
          <w:sz w:val="20"/>
        </w:rPr>
        <w:t>The following KQL-shaped example illustrates the logic for a Microsoft Sentinel-style table. Column and table names vary by data source, so adapt it only inside an authorised lab with matching fields.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EF5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74865"/>
                <w:sz w:val="17"/>
              </w:rPr>
              <w:t>SecurityEvent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74865"/>
                <w:sz w:val="17"/>
              </w:rPr>
              <w:t>| where EventID in (4624, 4625)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74865"/>
                <w:sz w:val="17"/>
              </w:rPr>
              <w:t>| summarize failures=countif(EventID == 4625), successes=countif(EventID == 4624) by Account, IpAddress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74865"/>
                <w:sz w:val="17"/>
              </w:rPr>
              <w:t>| where failures &gt;= 5 and successes &gt; 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AF6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i w:val="0"/>
                <w:color w:val="2D73A8"/>
                <w:sz w:val="16"/>
              </w:rPr>
              <w:t xml:space="preserve">IMPORTANT  </w:t>
            </w:r>
            <w:r>
              <w:rPr>
                <w:rFonts w:ascii="Aptos" w:hAnsi="Aptos" w:eastAsia="Aptos"/>
                <w:b w:val="0"/>
                <w:i w:val="0"/>
                <w:color w:val="102637"/>
                <w:sz w:val="18"/>
              </w:rPr>
              <w:t>This example finds a pattern worth reviewing; it cannot tell you by itself whether an account was compromised.</w:t>
            </w:r>
          </w:p>
        </w:tc>
      </w:tr>
    </w:tbl>
    <w:p>
      <w:pPr>
        <w:spacing w:after="0"/>
      </w:pPr>
    </w:p>
    <w:p>
      <w:pPr>
        <w:pStyle w:val="Heading1"/>
      </w:pPr>
      <w:r>
        <w:t>6. Finding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Write down</w:t>
            </w:r>
          </w:p>
        </w:tc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Prompt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Question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What did I try to find?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Evidence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Which event IDs, times, hosts, users, and fields support the finding?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Alternative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What legitimate activity could explain the pattern?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Confidence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Low / medium / high, with a reason.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Unknowns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What data is missing or incomplete?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Next check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What is the safest, most useful authorised follow-up?</w:t>
            </w:r>
          </w:p>
        </w:tc>
      </w:tr>
    </w:tbl>
    <w:p>
      <w:pPr>
        <w:pStyle w:val="Heading1"/>
      </w:pPr>
      <w:r>
        <w:t>Further learning</w:t>
      </w:r>
    </w:p>
    <w:p>
      <w:pPr>
        <w:pStyle w:val="ListBullet"/>
      </w:pPr>
      <w:hyperlink r:id="rId11">
        <w:r>
          <w:rPr>
            <w:color w:val="00B894"/>
            <w:u w:val="single"/>
          </w:rPr>
          <w:t>MITRE ATT&amp;CK knowledge base</w:t>
        </w:r>
      </w:hyperlink>
    </w:p>
    <w:p>
      <w:pPr>
        <w:pStyle w:val="ListBullet"/>
      </w:pPr>
      <w:hyperlink r:id="rId12">
        <w:r>
          <w:rPr>
            <w:color w:val="00B894"/>
            <w:u w:val="single"/>
          </w:rPr>
          <w:t>Microsoft threat hunting overview</w:t>
        </w:r>
      </w:hyperlink>
    </w:p>
    <w:p>
      <w:pPr>
        <w:pStyle w:val="ListBullet"/>
      </w:pPr>
      <w:hyperlink r:id="rId13">
        <w:r>
          <w:rPr>
            <w:color w:val="00B894"/>
            <w:u w:val="single"/>
          </w:rPr>
          <w:t>KQL overview</w:t>
        </w:r>
      </w:hyperlink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OPENCYBERPATH FIELD NOTEBOOK - MATCHED EXTERNAL PRACTICE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A real lab for these notes</w:t>
      </w:r>
    </w:p>
    <w:p>
      <w:pPr>
        <w:spacing w:before="0" w:after="80" w:line="240" w:lineRule="auto"/>
      </w:pPr>
      <w:r>
        <w:rPr>
          <w:rFonts w:ascii="Comic Neue" w:hAnsi="Comic Neue" w:eastAsia="Comic Neue"/>
          <w:b w:val="0"/>
          <w:i w:val="0"/>
          <w:color w:val="24344D"/>
          <w:sz w:val="20"/>
        </w:rPr>
        <w:t>Topic: Authentication anomalies, baselines, and hypothesis-driven hunting. These pages connect the existing OpenCyberPath notes to specific provider-hosted exercises. The card label is intentionally generic; the exact task name and direct URL are listed here so you can open the right exercise instead of a whole catalogue.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Concept checkpoints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Start with a falsifiable question, not a conclusion.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Compare failed logons with success-after-failure, host, user, source IP, and timeframe.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RFC 5737 test addresses and example.invalid domains in the bundled CSV are fictional training indicators.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Repeated failures can be caused by typos, stale credentials, service jobs, or malicious activity; gather context.</w:t>
      </w:r>
    </w:p>
    <w:p>
      <w:pPr>
        <w:keepNext/>
        <w:spacing w:before="0" w:after="0" w:line="240" w:lineRule="auto"/>
      </w:pPr>
      <w:r>
        <w:rPr>
          <w:rFonts w:ascii="Comic Neue" w:hAnsi="Comic Neue" w:eastAsia="Comic Neue"/>
          <w:b/>
          <w:i w:val="0"/>
          <w:color w:val="213A58"/>
          <w:sz w:val="20"/>
        </w:rPr>
        <w:t xml:space="preserve">Windows Threat Detection 1  </w:t>
      </w:r>
      <w:r>
        <w:rPr>
          <w:rFonts w:ascii="Comic Neue" w:hAnsi="Comic Neue" w:eastAsia="Comic Neue"/>
          <w:b w:val="0"/>
          <w:i/>
          <w:color w:val="007B89"/>
          <w:sz w:val="17"/>
        </w:rPr>
        <w:t>[TryHackMe]</w:t>
      </w:r>
    </w:p>
    <w:p>
      <w:pPr>
        <w:spacing w:before="0" w:after="20" w:line="240" w:lineRule="auto"/>
      </w:pPr>
      <w:hyperlink r:id="rId14">
        <w:r>
          <w:rPr>
            <w:color w:val="1465A8"/>
            <w:u w:val="single"/>
            <w:rFonts w:ascii="DejaVu Sans Mono" w:hAnsi="DejaVu Sans Mono" w:eastAsia="DejaVu Sans Mono"/>
            <w:sz w:val="15"/>
          </w:rPr>
          <w:t>https://tryhackme.com/room/windowsthreatdetection1</w:t>
        </w:r>
      </w:hyperlink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E6D7E"/>
          <w:sz w:val="17"/>
        </w:rPr>
        <w:t>Access note: Account required; verify room access and the lab machine entitlement shown by the provider.</w:t>
      </w:r>
    </w:p>
    <w:p>
      <w:pPr>
        <w:keepNext/>
        <w:spacing w:before="0" w:after="0" w:line="240" w:lineRule="auto"/>
      </w:pPr>
      <w:r>
        <w:rPr>
          <w:rFonts w:ascii="Comic Neue" w:hAnsi="Comic Neue" w:eastAsia="Comic Neue"/>
          <w:b/>
          <w:i w:val="0"/>
          <w:color w:val="213A58"/>
          <w:sz w:val="20"/>
        </w:rPr>
        <w:t xml:space="preserve">T1110-003  </w:t>
      </w:r>
      <w:r>
        <w:rPr>
          <w:rFonts w:ascii="Comic Neue" w:hAnsi="Comic Neue" w:eastAsia="Comic Neue"/>
          <w:b w:val="0"/>
          <w:i/>
          <w:color w:val="007B89"/>
          <w:sz w:val="17"/>
        </w:rPr>
        <w:t>[CyberDefenders]</w:t>
      </w:r>
    </w:p>
    <w:p>
      <w:pPr>
        <w:spacing w:before="0" w:after="20" w:line="240" w:lineRule="auto"/>
      </w:pPr>
      <w:hyperlink r:id="rId15">
        <w:r>
          <w:rPr>
            <w:color w:val="1465A8"/>
            <w:u w:val="single"/>
            <w:rFonts w:ascii="DejaVu Sans Mono" w:hAnsi="DejaVu Sans Mono" w:eastAsia="DejaVu Sans Mono"/>
            <w:sz w:val="15"/>
          </w:rPr>
          <w:t>https://cyberdefenders.org/blueteam-ctf-challenges/t1110003/</w:t>
        </w:r>
      </w:hyperlink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E6D7E"/>
          <w:sz w:val="17"/>
        </w:rPr>
        <w:t>Access note: Direct challenge page about credential-access and threat-hunting patterns. Sign-in, downloadable evidence, and current availability can vary.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DDF4F2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087F8C"/>
                <w:sz w:val="18"/>
              </w:rPr>
              <w:t xml:space="preserve">ACCESS CHECK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Open the exact task page and verify the current login, account tier, VM launch button, free/paid terms, and any cost notes before starting. A provider may change availability or retire a challenge.</w:t>
            </w:r>
          </w:p>
        </w:tc>
      </w:tr>
    </w:tbl>
    <w:p>
      <w:pPr>
        <w:spacing w:after="0"/>
      </w:pP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Before you click Start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Write down the provider’s target/scope and use only the instance it creates for you.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Keep this notebook beside the exercise. Use its original course data before trying commands on a local machine.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Capture timestamps, filenames, row/packet IDs, and a short explanation; redact credentials, tokens, and personal data.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If a page says retired, premium, or downloadable-only, use the alternative listed in the access note or return to the matching interactive lab above.</w:t>
      </w: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COMMAND NOTEBOOK - COPY ONE LINE AT A TIME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Commands you can explain</w:t>
      </w:r>
    </w:p>
    <w:p>
      <w:pPr>
        <w:spacing w:before="0" w:after="80" w:line="240" w:lineRule="auto"/>
      </w:pPr>
      <w:r>
        <w:rPr>
          <w:rFonts w:ascii="Comic Neue" w:hAnsi="Comic Neue" w:eastAsia="Comic Neue"/>
          <w:b/>
          <w:i w:val="0"/>
          <w:color w:val="8B4E24"/>
          <w:sz w:val="19"/>
        </w:rPr>
        <w:t>All bundled rows are synthetic. The commands parse local files only; do not run password attempts or test a live account.</w:t>
      </w:r>
    </w:p>
    <w:p>
      <w:pPr>
        <w:spacing w:before="0" w:after="100" w:line="240" w:lineRule="auto"/>
      </w:pPr>
      <w:r>
        <w:rPr>
          <w:rFonts w:ascii="Comic Neue" w:hAnsi="Comic Neue" w:eastAsia="Comic Neue"/>
          <w:b w:val="0"/>
          <w:i/>
          <w:color w:val="5A6C7E"/>
          <w:sz w:val="18"/>
        </w:rPr>
        <w:t>First download the matching sample file(s) from the existing card when a command names one. Keep the data in a practice folder and never execute strings stored in evidence.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POWERSHELL / CHRONOLOGICAL VIEW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Import-Csv .\threat-hunt-auth-dns-samples.csv | Sort-Object timestamp_utc | Format-Table timestamp_utc,host,user,source_ip,result,label -AutoSize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Read the downloaded synthetic CSV in timestamp order.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POWERSHELL / GROUP FAILURES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Import-Csv .\threat-hunt-auth-dns-samples.csv | Where-Object {$_.result -eq 'failure'} | Group-Object host,source_ip | Sort-Object Count -Descending | Select-Object Count,Name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Find repeated synthetic failures by host and source without making any network connection.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POWERSHELL / EXAMINE ONE HOST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Import-Csv .\threat-hunt-auth-dns-samples.csv | Where-Object {$_.host -eq 'TRAIN-WIN-02'} | Select-Object timestamp_utc,user,source_ip,result,label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Inspect a supplied fixture host; the name is fictional.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LINUX / VIEW FAILED ROWS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grep -i ",failure," threat-hunt-auth-dns-samples.csv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Filter the CSV to rows containing a failed result; confirm the header/column order first.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LINUX / COUNT LABEL COLUMN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awk -F, 'NR&gt;1 {count[$8]++} END {for (label in count) print label, count[label]}' threat-hunt-auth-dns-samples.csv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Count the label field in this specific nine-column CSV. CSV quoting rules may require Python for more complex files.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4F0F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275D9B"/>
                <w:sz w:val="18"/>
              </w:rPr>
              <w:t xml:space="preserve">COMMAND HABIT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Check the current working directory, shell, target, and expected effect before pressing Enter. Save the exact command and the output that mattered.</w:t>
            </w:r>
          </w:p>
        </w:tc>
      </w:tr>
    </w:tbl>
    <w:p>
      <w:pPr>
        <w:spacing w:after="0"/>
      </w:pP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RUN THE EXERCISE - RECORD WHAT THE EVIDENCE REALLY SHOWS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Guided lab run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1. Write your hypothesis in one sentence, including the host, activity type, and time window.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2. Load the sample CSV and check its headers, row count, and UTC timestamps.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3. Group failures by host and source, then inspect any success immediately after a burst.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4. Compare the pattern with benign baseline rows before assigning a label.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5. Write what the sample supports, what it cannot establish, and the next telemetry needed.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Evidence checklist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exact lab instance or sample file was used?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Which command/query and time range produced the observation?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is the directly observed fact, separate from your inference?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benign/alternative explanation could fit?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extra record or control would help confirm the conclusion?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Check your understanding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What do repeated failures followed by a success prove?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They justify closer review but do not by themselves prove account compromise.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Why use UTC in the evidence timeline?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A consistent timezone reduces ordering mistakes when sources come from different systems.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What is a useful next data source?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MFA outcomes, sign-in risk, endpoint process events, VPN/RDP context, and the user’s expected activity.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FFF1C9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8A5A00"/>
                <w:sz w:val="18"/>
              </w:rPr>
              <w:t xml:space="preserve">NOTEBOOK CLOSE-OUT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Finish with: Observation / Evidence source / Why it matters / Alternative explanation / Next check / Limitation. A careful “not enough evidence yet” is a valid professional result.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66" w:bottom="893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71828C"/>
        <w:sz w:val="15"/>
      </w:rPr>
      <w:t>Learn openly • Practise only in authorised environments • No job or reward guarantee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i w:val="0"/>
        <w:color w:val="71828C"/>
        <w:sz w:val="15"/>
      </w:rPr>
      <w:t>OPENCYBERPATH  /  OPEN LEARNING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9" w:lineRule="auto"/>
    </w:pPr>
    <w:rPr>
      <w:rFonts w:ascii="Comic Neue" w:hAnsi="Comic Neue" w:eastAsia="Comic Neue"/>
      <w:color w:val="1D4C8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omic Neue" w:hAnsi="Comic Neue" w:eastAsia="Comic Neue"/>
      <w:b/>
      <w:bCs/>
      <w:color w:val="1D4C8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omic Neue" w:hAnsi="Comic Neue" w:eastAsia="Comic Neue"/>
      <w:b/>
      <w:bCs/>
      <w:color w:val="1D4C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omic Neue" w:hAnsi="Comic Neue" w:eastAsia="Comic Neue"/>
      <w:b/>
      <w:bCs/>
      <w:color w:val="1D4C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Comic Neue" w:hAnsi="Comic Neue" w:eastAsia="Comic Neue"/>
      <w:b/>
      <w:color w:val="1D4C8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ttack.mitre.org/" TargetMode="External"/><Relationship Id="rId12" Type="http://schemas.openxmlformats.org/officeDocument/2006/relationships/hyperlink" Target="https://learn.microsoft.com/en-us/defender-xdr/hunting-overview" TargetMode="External"/><Relationship Id="rId13" Type="http://schemas.openxmlformats.org/officeDocument/2006/relationships/hyperlink" Target="https://learn.microsoft.com/en-us/kusto/query" TargetMode="External"/><Relationship Id="rId14" Type="http://schemas.openxmlformats.org/officeDocument/2006/relationships/hyperlink" Target="https://tryhackme.com/room/windowsthreatdetection1" TargetMode="External"/><Relationship Id="rId15" Type="http://schemas.openxmlformats.org/officeDocument/2006/relationships/hyperlink" Target="https://cyberdefenders.org/blueteam-ctf-challenges/t111000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Threat Hunting: Find the Story in the Logs</dc:title>
  <dc:subject>Expanded lab companion pages with exact provider links, scoped commands, steps, and checks.</dc:subject>
  <dc:creator>OpenCyberPath community contributors</dc:creator>
  <cp:keywords>OpenCyberPath, hands-on lab, cybersecurity notes, authorized training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