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omic Neue" w:hAnsi="Comic Neue" w:eastAsia="Comic Neue"/>
          <w:b/>
          <w:i w:val="0"/>
          <w:color w:val="174B91"/>
          <w:sz w:val="52"/>
        </w:rPr>
        <w:t>SOC &amp; SIEM Fundamentals</w:t>
      </w:r>
    </w:p>
    <w:p>
      <w:pPr>
        <w:spacing w:after="240"/>
      </w:pPr>
      <w:r>
        <w:rPr>
          <w:rFonts w:ascii="Comic Neue" w:hAnsi="Comic Neue" w:eastAsia="Comic Neue"/>
          <w:b w:val="0"/>
          <w:i/>
          <w:color w:val="1E5CA8"/>
          <w:sz w:val="24"/>
        </w:rPr>
        <w:t>A compact notebook for your first security operations investigations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2459A9"/>
                <w:sz w:val="18"/>
              </w:rPr>
              <w:t xml:space="preserve">NOTEBOOK MODE  </w:t>
            </w:r>
            <w:r>
              <w:rPr>
                <w:rFonts w:ascii="Aptos" w:hAnsi="Aptos" w:eastAsia="Aptos"/>
                <w:b w:val="0"/>
                <w:i w:val="0"/>
                <w:color w:val="12263A"/>
                <w:sz w:val="20"/>
              </w:rPr>
              <w:t>Beginner-friendly handwritten-style notes. These are typeset learning notes, not actual handwritten scans.</w:t>
            </w:r>
          </w:p>
        </w:tc>
      </w:tr>
    </w:tbl>
    <w:p>
      <w:pPr>
        <w:spacing w:after="20"/>
      </w:pPr>
    </w:p>
    <w:p>
      <w:pPr>
        <w:pStyle w:val="Heading1"/>
      </w:pPr>
      <w:r>
        <w:t>1. The big picture</w:t>
      </w:r>
    </w:p>
    <w:p>
      <w:r>
        <w:rPr>
          <w:rFonts w:ascii="Comic Neue" w:hAnsi="Comic Neue" w:eastAsia="Comic Neue"/>
          <w:b w:val="0"/>
          <w:i w:val="0"/>
          <w:color w:val="214C86"/>
          <w:sz w:val="22"/>
        </w:rPr>
        <w:t>A SOC (Security Operations Center) monitors systems, reviews alerts, investigates suspicious activity, and coordinates response. A beginner SOC analyst helps turn noisy events into evidence-based decisions.</w:t>
      </w:r>
    </w:p>
    <w:p>
      <w:r>
        <w:rPr>
          <w:rFonts w:ascii="Comic Neue" w:hAnsi="Comic Neue" w:eastAsia="Comic Neue"/>
          <w:b w:val="0"/>
          <w:i w:val="0"/>
          <w:color w:val="214C86"/>
          <w:sz w:val="22"/>
        </w:rPr>
        <w:t>A SIEM (Security Information and Event Management) platform collects and analyses logs from different systems so analysts can search, correlate, and detect patterns.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D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omic Neue" w:hAnsi="Comic Neue" w:eastAsia="Comic Neue"/>
                <w:b/>
                <w:i w:val="0"/>
                <w:color w:val="9A6415"/>
                <w:sz w:val="18"/>
              </w:rPr>
              <w:t xml:space="preserve">REMEMBER  </w:t>
            </w:r>
            <w:r>
              <w:rPr>
                <w:rFonts w:ascii="Comic Neue" w:hAnsi="Comic Neue" w:eastAsia="Comic Neue"/>
                <w:b w:val="0"/>
                <w:i w:val="0"/>
                <w:color w:val="214C86"/>
                <w:sz w:val="20"/>
              </w:rPr>
              <w:t>A SIEM alert is a lead to investigate, not automatic proof of an attack.</w:t>
            </w:r>
          </w:p>
        </w:tc>
      </w:tr>
    </w:tbl>
    <w:p>
      <w:pPr>
        <w:spacing w:after="20"/>
      </w:pPr>
    </w:p>
    <w:p>
      <w:pPr>
        <w:pStyle w:val="Heading1"/>
      </w:pPr>
      <w:r>
        <w:t>2. Event vs alert vs incident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336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Event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A record of something that happened.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A process started on a workstation.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Alert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A rule or analytic flags an event/pattern for review.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A rule detects PowerShell with encoded-command indicators.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Incident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A tracked investigation that groups related evidence and actions.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An analyst reviews multiple related alerts from one host.</w:t>
            </w:r>
          </w:p>
        </w:tc>
      </w:tr>
    </w:tbl>
    <w:p>
      <w:pPr>
        <w:pStyle w:val="Heading1"/>
      </w:pPr>
      <w:r>
        <w:t>3. How telemetry becomes an investigation</w:t>
      </w:r>
    </w:p>
    <w:p>
      <w:pPr>
        <w:spacing w:after="60"/>
        <w:ind w:left="317" w:hanging="317"/>
      </w:pPr>
      <w:r>
        <w:rPr>
          <w:rFonts w:ascii="Comic Neue" w:hAnsi="Comic Neue" w:eastAsia="Comic Neue"/>
          <w:b/>
          <w:i w:val="0"/>
          <w:color w:val="137A63"/>
          <w:sz w:val="21"/>
        </w:rPr>
        <w:t xml:space="preserve">1. </w:t>
      </w:r>
      <w:r>
        <w:rPr>
          <w:rFonts w:ascii="Comic Neue" w:hAnsi="Comic Neue" w:eastAsia="Comic Neue"/>
          <w:b w:val="0"/>
          <w:i w:val="0"/>
          <w:color w:val="214C86"/>
          <w:sz w:val="21"/>
        </w:rPr>
        <w:t>Endpoint or service creates an event.</w:t>
      </w:r>
    </w:p>
    <w:p>
      <w:pPr>
        <w:spacing w:after="60"/>
        <w:ind w:left="317" w:hanging="317"/>
      </w:pPr>
      <w:r>
        <w:rPr>
          <w:rFonts w:ascii="Comic Neue" w:hAnsi="Comic Neue" w:eastAsia="Comic Neue"/>
          <w:b/>
          <w:i w:val="0"/>
          <w:color w:val="137A63"/>
          <w:sz w:val="21"/>
        </w:rPr>
        <w:t xml:space="preserve">2. </w:t>
      </w:r>
      <w:r>
        <w:rPr>
          <w:rFonts w:ascii="Comic Neue" w:hAnsi="Comic Neue" w:eastAsia="Comic Neue"/>
          <w:b w:val="0"/>
          <w:i w:val="0"/>
          <w:color w:val="214C86"/>
          <w:sz w:val="21"/>
        </w:rPr>
        <w:t>A collector or agent forwards the event.</w:t>
      </w:r>
    </w:p>
    <w:p>
      <w:pPr>
        <w:spacing w:after="60"/>
        <w:ind w:left="317" w:hanging="317"/>
      </w:pPr>
      <w:r>
        <w:rPr>
          <w:rFonts w:ascii="Comic Neue" w:hAnsi="Comic Neue" w:eastAsia="Comic Neue"/>
          <w:b/>
          <w:i w:val="0"/>
          <w:color w:val="137A63"/>
          <w:sz w:val="21"/>
        </w:rPr>
        <w:t xml:space="preserve">3. </w:t>
      </w:r>
      <w:r>
        <w:rPr>
          <w:rFonts w:ascii="Comic Neue" w:hAnsi="Comic Neue" w:eastAsia="Comic Neue"/>
          <w:b w:val="0"/>
          <w:i w:val="0"/>
          <w:color w:val="214C86"/>
          <w:sz w:val="21"/>
        </w:rPr>
        <w:t>The SIEM parses/normalizes fields.</w:t>
      </w:r>
    </w:p>
    <w:p>
      <w:pPr>
        <w:spacing w:after="60"/>
        <w:ind w:left="317" w:hanging="317"/>
      </w:pPr>
      <w:r>
        <w:rPr>
          <w:rFonts w:ascii="Comic Neue" w:hAnsi="Comic Neue" w:eastAsia="Comic Neue"/>
          <w:b/>
          <w:i w:val="0"/>
          <w:color w:val="137A63"/>
          <w:sz w:val="21"/>
        </w:rPr>
        <w:t xml:space="preserve">4. </w:t>
      </w:r>
      <w:r>
        <w:rPr>
          <w:rFonts w:ascii="Comic Neue" w:hAnsi="Comic Neue" w:eastAsia="Comic Neue"/>
          <w:b w:val="0"/>
          <w:i w:val="0"/>
          <w:color w:val="214C86"/>
          <w:sz w:val="21"/>
        </w:rPr>
        <w:t>A detection rule checks conditions.</w:t>
      </w:r>
    </w:p>
    <w:p>
      <w:pPr>
        <w:spacing w:after="60"/>
        <w:ind w:left="317" w:hanging="317"/>
      </w:pPr>
      <w:r>
        <w:rPr>
          <w:rFonts w:ascii="Comic Neue" w:hAnsi="Comic Neue" w:eastAsia="Comic Neue"/>
          <w:b/>
          <w:i w:val="0"/>
          <w:color w:val="137A63"/>
          <w:sz w:val="21"/>
        </w:rPr>
        <w:t xml:space="preserve">5. </w:t>
      </w:r>
      <w:r>
        <w:rPr>
          <w:rFonts w:ascii="Comic Neue" w:hAnsi="Comic Neue" w:eastAsia="Comic Neue"/>
          <w:b w:val="0"/>
          <w:i w:val="0"/>
          <w:color w:val="214C86"/>
          <w:sz w:val="21"/>
        </w:rPr>
        <w:t>An alert is created and may be correlated into an incident.</w:t>
      </w:r>
    </w:p>
    <w:p>
      <w:pPr>
        <w:spacing w:after="60"/>
        <w:ind w:left="317" w:hanging="317"/>
      </w:pPr>
      <w:r>
        <w:rPr>
          <w:rFonts w:ascii="Comic Neue" w:hAnsi="Comic Neue" w:eastAsia="Comic Neue"/>
          <w:b/>
          <w:i w:val="0"/>
          <w:color w:val="137A63"/>
          <w:sz w:val="21"/>
        </w:rPr>
        <w:t xml:space="preserve">6. </w:t>
      </w:r>
      <w:r>
        <w:rPr>
          <w:rFonts w:ascii="Comic Neue" w:hAnsi="Comic Neue" w:eastAsia="Comic Neue"/>
          <w:b w:val="0"/>
          <w:i w:val="0"/>
          <w:color w:val="214C86"/>
          <w:sz w:val="21"/>
        </w:rPr>
        <w:t>An analyst checks evidence, records a decision, and documents unknowns.</w:t>
      </w:r>
    </w:p>
    <w:p>
      <w:r>
        <w:br w:type="page"/>
      </w:r>
    </w:p>
    <w:p>
      <w:pPr>
        <w:pStyle w:val="Heading1"/>
      </w:pPr>
      <w:r>
        <w:t>4. Important fields to recognise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04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Question to ask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timestamp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When did it happen? What timezone is used?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host / agent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Which device produced or forwarded it?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user / account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Which identity was involved? Is it expected?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process / image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Which program was started? Is the path consistent?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command_line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What arguments were supplied? Treat it as evidence, not a conclusion.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event_id / event_type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What kind of event is this? Which provider defined the ID?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source / destination IP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Which endpoints are involved, and is the field trustworthy?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rule_id / severity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Which analytic triggered? Severity is a prioritisation hint.</w:t>
            </w:r>
          </w:p>
        </w:tc>
      </w:tr>
    </w:tbl>
    <w:p>
      <w:pPr>
        <w:pStyle w:val="Heading1"/>
      </w:pPr>
      <w:r>
        <w:t>5. A simple triage checklist</w:t>
      </w:r>
    </w:p>
    <w:p>
      <w:pPr>
        <w:pStyle w:val="ListBullet"/>
        <w:spacing w:after="40"/>
      </w:pPr>
      <w:r>
        <w:rPr>
          <w:rFonts w:ascii="Comic Neue" w:hAnsi="Comic Neue" w:eastAsia="Comic Neue"/>
          <w:b w:val="0"/>
          <w:i w:val="0"/>
          <w:color w:val="214C86"/>
          <w:sz w:val="21"/>
        </w:rPr>
        <w:t>Read the alert title and rule logic.</w:t>
      </w:r>
    </w:p>
    <w:p>
      <w:pPr>
        <w:pStyle w:val="ListBullet"/>
        <w:spacing w:after="40"/>
      </w:pPr>
      <w:r>
        <w:rPr>
          <w:rFonts w:ascii="Comic Neue" w:hAnsi="Comic Neue" w:eastAsia="Comic Neue"/>
          <w:b w:val="0"/>
          <w:i w:val="0"/>
          <w:color w:val="214C86"/>
          <w:sz w:val="21"/>
        </w:rPr>
        <w:t>Open the source event and verify its timestamp, host, user, process, and command line.</w:t>
      </w:r>
    </w:p>
    <w:p>
      <w:pPr>
        <w:pStyle w:val="ListBullet"/>
        <w:spacing w:after="40"/>
      </w:pPr>
      <w:r>
        <w:rPr>
          <w:rFonts w:ascii="Comic Neue" w:hAnsi="Comic Neue" w:eastAsia="Comic Neue"/>
          <w:b w:val="0"/>
          <w:i w:val="0"/>
          <w:color w:val="214C86"/>
          <w:sz w:val="21"/>
        </w:rPr>
        <w:t>Ask whether the same behaviour could be legitimate administration or software activity.</w:t>
      </w:r>
    </w:p>
    <w:p>
      <w:pPr>
        <w:pStyle w:val="ListBullet"/>
        <w:spacing w:after="40"/>
      </w:pPr>
      <w:r>
        <w:rPr>
          <w:rFonts w:ascii="Comic Neue" w:hAnsi="Comic Neue" w:eastAsia="Comic Neue"/>
          <w:b w:val="0"/>
          <w:i w:val="0"/>
          <w:color w:val="214C86"/>
          <w:sz w:val="21"/>
        </w:rPr>
        <w:t>Look for related events before and after the alert, if available.</w:t>
      </w:r>
    </w:p>
    <w:p>
      <w:pPr>
        <w:pStyle w:val="ListBullet"/>
        <w:spacing w:after="40"/>
      </w:pPr>
      <w:r>
        <w:rPr>
          <w:rFonts w:ascii="Comic Neue" w:hAnsi="Comic Neue" w:eastAsia="Comic Neue"/>
          <w:b w:val="0"/>
          <w:i w:val="0"/>
          <w:color w:val="214C86"/>
          <w:sz w:val="21"/>
        </w:rPr>
        <w:t>Write what is supported by evidence and what remains unknown.</w:t>
      </w:r>
    </w:p>
    <w:p>
      <w:pPr>
        <w:pStyle w:val="ListBullet"/>
        <w:spacing w:after="40"/>
      </w:pPr>
      <w:r>
        <w:rPr>
          <w:rFonts w:ascii="Comic Neue" w:hAnsi="Comic Neue" w:eastAsia="Comic Neue"/>
          <w:b w:val="0"/>
          <w:i w:val="0"/>
          <w:color w:val="214C86"/>
          <w:sz w:val="21"/>
        </w:rPr>
        <w:t>Choose a disposition according to the exercise instructions; do not claim certainty without evidence.</w:t>
      </w:r>
    </w:p>
    <w:p>
      <w:r>
        <w:br w:type="page"/>
      </w:r>
    </w:p>
    <w:p>
      <w:pPr>
        <w:pStyle w:val="Heading1"/>
      </w:pPr>
      <w:r>
        <w:t>6. Detection metrics in plain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504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Plain-language meaning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True positive (TP)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A suspicious case correctly alerted.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False positive (FP)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A benign case incorrectly alerted.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True negative (TN)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A benign case correctly did not alert.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False negative (FN)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A suspicious case was missed.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Precision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Of alerts raised, how many were true positives? TP / (TP + FP)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Recall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Of suspicious cases, how many were detected? TP / (TP + FN)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F1 score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A combined measure of precision and recall.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omic Neue" w:hAnsi="Comic Neue" w:eastAsia="Comic Neue"/>
                <w:b/>
                <w:i w:val="0"/>
                <w:color w:val="2459A9"/>
                <w:sz w:val="18"/>
              </w:rPr>
              <w:t xml:space="preserve">METRIC CAUTION  </w:t>
            </w:r>
            <w:r>
              <w:rPr>
                <w:rFonts w:ascii="Comic Neue" w:hAnsi="Comic Neue" w:eastAsia="Comic Neue"/>
                <w:b w:val="0"/>
                <w:i w:val="0"/>
                <w:color w:val="214C86"/>
                <w:sz w:val="20"/>
              </w:rPr>
              <w:t>Always report the dataset size, labels, exclusions, and limitations. Small curated datasets do not prove production performance.</w:t>
            </w:r>
          </w:p>
        </w:tc>
      </w:tr>
    </w:tbl>
    <w:p>
      <w:pPr>
        <w:spacing w:after="20"/>
      </w:pPr>
    </w:p>
    <w:p>
      <w:pPr>
        <w:pStyle w:val="Heading1"/>
      </w:pPr>
      <w:r>
        <w:t>7. Mini exercise</w:t>
      </w:r>
    </w:p>
    <w:p>
      <w:r>
        <w:rPr>
          <w:rFonts w:ascii="Comic Neue" w:hAnsi="Comic Neue" w:eastAsia="Comic Neue"/>
          <w:b w:val="0"/>
          <w:i w:val="0"/>
          <w:color w:val="214C86"/>
          <w:sz w:val="22"/>
        </w:rPr>
        <w:t>Scenario: your practice dataset contains a benign event for notepad.exe and a second labelled training event describing a PowerShell process with an encoded-command argument. The second record is a sample; it is not a command to execute.</w:t>
      </w:r>
    </w:p>
    <w:p>
      <w:pPr>
        <w:spacing w:after="60"/>
        <w:ind w:left="317" w:hanging="317"/>
      </w:pPr>
      <w:r>
        <w:rPr>
          <w:rFonts w:ascii="Comic Neue" w:hAnsi="Comic Neue" w:eastAsia="Comic Neue"/>
          <w:b/>
          <w:i w:val="0"/>
          <w:color w:val="137A63"/>
          <w:sz w:val="21"/>
        </w:rPr>
        <w:t xml:space="preserve">1. </w:t>
      </w:r>
      <w:r>
        <w:rPr>
          <w:rFonts w:ascii="Comic Neue" w:hAnsi="Comic Neue" w:eastAsia="Comic Neue"/>
          <w:b w:val="0"/>
          <w:i w:val="0"/>
          <w:color w:val="214C86"/>
          <w:sz w:val="21"/>
        </w:rPr>
        <w:t>Which record should a rule focused on encoded PowerShell flag?</w:t>
      </w:r>
    </w:p>
    <w:p>
      <w:pPr>
        <w:spacing w:after="60"/>
        <w:ind w:left="317" w:hanging="317"/>
      </w:pPr>
      <w:r>
        <w:rPr>
          <w:rFonts w:ascii="Comic Neue" w:hAnsi="Comic Neue" w:eastAsia="Comic Neue"/>
          <w:b/>
          <w:i w:val="0"/>
          <w:color w:val="137A63"/>
          <w:sz w:val="21"/>
        </w:rPr>
        <w:t xml:space="preserve">2. </w:t>
      </w:r>
      <w:r>
        <w:rPr>
          <w:rFonts w:ascii="Comic Neue" w:hAnsi="Comic Neue" w:eastAsia="Comic Neue"/>
          <w:b w:val="0"/>
          <w:i w:val="0"/>
          <w:color w:val="214C86"/>
          <w:sz w:val="21"/>
        </w:rPr>
        <w:t>What fields would you inspect before concluding that activity is malicious?</w:t>
      </w:r>
    </w:p>
    <w:p>
      <w:pPr>
        <w:spacing w:after="60"/>
        <w:ind w:left="317" w:hanging="317"/>
      </w:pPr>
      <w:r>
        <w:rPr>
          <w:rFonts w:ascii="Comic Neue" w:hAnsi="Comic Neue" w:eastAsia="Comic Neue"/>
          <w:b/>
          <w:i w:val="0"/>
          <w:color w:val="137A63"/>
          <w:sz w:val="21"/>
        </w:rPr>
        <w:t xml:space="preserve">3. </w:t>
      </w:r>
      <w:r>
        <w:rPr>
          <w:rFonts w:ascii="Comic Neue" w:hAnsi="Comic Neue" w:eastAsia="Comic Neue"/>
          <w:b w:val="0"/>
          <w:i w:val="0"/>
          <w:color w:val="214C86"/>
          <w:sz w:val="21"/>
        </w:rPr>
        <w:t>Name one benign explanation that could require validation.</w:t>
      </w:r>
    </w:p>
    <w:p>
      <w:pPr>
        <w:spacing w:after="60"/>
        <w:ind w:left="317" w:hanging="317"/>
      </w:pPr>
      <w:r>
        <w:rPr>
          <w:rFonts w:ascii="Comic Neue" w:hAnsi="Comic Neue" w:eastAsia="Comic Neue"/>
          <w:b/>
          <w:i w:val="0"/>
          <w:color w:val="137A63"/>
          <w:sz w:val="21"/>
        </w:rPr>
        <w:t xml:space="preserve">4. </w:t>
      </w:r>
      <w:r>
        <w:rPr>
          <w:rFonts w:ascii="Comic Neue" w:hAnsi="Comic Neue" w:eastAsia="Comic Neue"/>
          <w:b w:val="0"/>
          <w:i w:val="0"/>
          <w:color w:val="214C86"/>
          <w:sz w:val="21"/>
        </w:rPr>
        <w:t>What additional events or context would help your investigation?</w:t>
      </w:r>
    </w:p>
    <w:p>
      <w:pPr>
        <w:spacing w:after="60"/>
        <w:ind w:left="317" w:hanging="317"/>
      </w:pPr>
      <w:r>
        <w:rPr>
          <w:rFonts w:ascii="Comic Neue" w:hAnsi="Comic Neue" w:eastAsia="Comic Neue"/>
          <w:b/>
          <w:i w:val="0"/>
          <w:color w:val="137A63"/>
          <w:sz w:val="21"/>
        </w:rPr>
        <w:t xml:space="preserve">5. </w:t>
      </w:r>
      <w:r>
        <w:rPr>
          <w:rFonts w:ascii="Comic Neue" w:hAnsi="Comic Neue" w:eastAsia="Comic Neue"/>
          <w:b w:val="0"/>
          <w:i w:val="0"/>
          <w:color w:val="214C86"/>
          <w:sz w:val="21"/>
        </w:rPr>
        <w:t>How would you record uncertainty in your notes?</w:t>
      </w:r>
    </w:p>
    <w:p>
      <w:pPr>
        <w:pStyle w:val="Heading1"/>
      </w:pPr>
      <w:r>
        <w:t>8. Free learning links</w:t>
      </w:r>
    </w:p>
    <w:p>
      <w:pPr>
        <w:pStyle w:val="ListBullet"/>
      </w:pPr>
      <w:hyperlink r:id="rId11">
        <w:r>
          <w:rPr>
            <w:color w:val="137A63"/>
            <w:u w:val="single"/>
          </w:rPr>
          <w:t>Wazuh Getting Started</w:t>
        </w:r>
      </w:hyperlink>
    </w:p>
    <w:p>
      <w:pPr>
        <w:pStyle w:val="ListBullet"/>
      </w:pPr>
      <w:hyperlink r:id="rId12">
        <w:r>
          <w:rPr>
            <w:color w:val="137A63"/>
            <w:u w:val="single"/>
          </w:rPr>
          <w:t>Splunk free courses</w:t>
        </w:r>
      </w:hyperlink>
    </w:p>
    <w:p>
      <w:pPr>
        <w:pStyle w:val="ListBullet"/>
      </w:pPr>
      <w:hyperlink r:id="rId13">
        <w:r>
          <w:rPr>
            <w:color w:val="137A63"/>
            <w:u w:val="single"/>
          </w:rPr>
          <w:t>MITRE ATT&amp;CK</w:t>
        </w:r>
      </w:hyperlink>
    </w:p>
    <w:p>
      <w:pPr>
        <w:pStyle w:val="ListBullet"/>
      </w:pPr>
      <w:hyperlink r:id="rId14">
        <w:r>
          <w:rPr>
            <w:color w:val="137A63"/>
            <w:u w:val="single"/>
          </w:rPr>
          <w:t>SigmaHQ rules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5F5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omic Neue" w:hAnsi="Comic Neue" w:eastAsia="Comic Neue"/>
                <w:b/>
                <w:i w:val="0"/>
                <w:color w:val="137A63"/>
                <w:sz w:val="18"/>
              </w:rPr>
              <w:t xml:space="preserve">NOTEBOOK PROMPT  </w:t>
            </w:r>
            <w:r>
              <w:rPr>
                <w:rFonts w:ascii="Comic Neue" w:hAnsi="Comic Neue" w:eastAsia="Comic Neue"/>
                <w:b w:val="0"/>
                <w:i w:val="0"/>
                <w:color w:val="214C86"/>
                <w:sz w:val="20"/>
              </w:rPr>
              <w:t>Can you explain the path from raw event to alert to documented incident without looking at the notes?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mic Neue" w:hAnsi="Comic Neue" w:eastAsia="Comic Neue"/>
        <w:b w:val="0"/>
        <w:i w:val="0"/>
        <w:color w:val="697C8C"/>
        <w:sz w:val="16"/>
      </w:rPr>
      <w:t>Learner-built resource • Verify provider docs and lab scope • No job guarantees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omic Neue" w:hAnsi="Comic Neue" w:eastAsia="Comic Neue"/>
        <w:b/>
        <w:i w:val="0"/>
        <w:color w:val="63768A"/>
        <w:sz w:val="16"/>
      </w:rPr>
      <w:t>OPENCYBERPATH  /  FREE LEARNING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omic Neue" w:hAnsi="Comic Neue" w:eastAsia="Comic Neue"/>
      <w:color w:val="214C8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omic Neue" w:hAnsi="Comic Neue" w:eastAsia="Comic Neue"/>
      <w:b/>
      <w:bCs/>
      <w:color w:val="174B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omic Neue" w:hAnsi="Comic Neue" w:eastAsia="Comic Neue"/>
      <w:b/>
      <w:bCs/>
      <w:color w:val="174B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omic Neue" w:hAnsi="Comic Neue" w:eastAsia="Comic Neue"/>
      <w:b/>
      <w:bCs/>
      <w:color w:val="174B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omic Neue" w:hAnsi="Comic Neue" w:eastAsia="Comic Neue"/>
      <w:b/>
      <w:color w:val="174B9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umentation.wazuh.com/current/getting-started/index.html" TargetMode="External"/><Relationship Id="rId12" Type="http://schemas.openxmlformats.org/officeDocument/2006/relationships/hyperlink" Target="https://www.splunk.com/en_us/training/free-courses/overview.html" TargetMode="External"/><Relationship Id="rId13" Type="http://schemas.openxmlformats.org/officeDocument/2006/relationships/hyperlink" Target="https://attack.mitre.org/" TargetMode="External"/><Relationship Id="rId14" Type="http://schemas.openxmlformats.org/officeDocument/2006/relationships/hyperlink" Target="https://github.com/SigmaHQ/sig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Handwritten Style Soc Siem Fundamentals</dc:title>
  <dc:subject/>
  <dc:creator>OpenCyberPath community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