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 w:eastAsia="Aptos Display"/>
          <w:b/>
          <w:i w:val="0"/>
          <w:color w:val="12263A"/>
          <w:sz w:val="52"/>
        </w:rPr>
        <w:t>Lab 01: Windows Process-Event Triage</w:t>
      </w:r>
    </w:p>
    <w:p>
      <w:pPr>
        <w:spacing w:after="240"/>
      </w:pPr>
      <w:r>
        <w:rPr>
          <w:rFonts w:ascii="Aptos" w:hAnsi="Aptos" w:eastAsia="Aptos"/>
          <w:b w:val="0"/>
          <w:i/>
          <w:color w:val="137A63"/>
          <w:sz w:val="24"/>
        </w:rPr>
        <w:t>A safe beginner exercise using sample evidence and optional local Event Viewer inspection</w:t>
      </w:r>
    </w:p>
    <w:p>
      <w:pPr>
        <w:pStyle w:val="Heading1"/>
      </w:pPr>
      <w:r>
        <w:t>Learning goals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Distinguish an event from an alert and an incident.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Identify key fields in a process-creation record.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Write an evidence-based triage note without overclaiming.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D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9A6415"/>
                <w:sz w:val="18"/>
              </w:rPr>
              <w:t xml:space="preserve">SAFETY / COST  </w:t>
            </w:r>
            <w:r>
              <w:rPr>
                <w:rFonts w:ascii="Aptos" w:hAnsi="Aptos" w:eastAsia="Aptos"/>
                <w:b w:val="0"/>
                <w:i w:val="0"/>
                <w:color w:val="12263A"/>
                <w:sz w:val="20"/>
              </w:rPr>
              <w:t>Use the included sample data first; it costs nothing and changes no system settings. Only inspect logs on a device/account you are authorised to use.</w:t>
            </w:r>
          </w:p>
        </w:tc>
      </w:tr>
    </w:tbl>
    <w:p>
      <w:pPr>
        <w:spacing w:after="20"/>
      </w:pPr>
    </w:p>
    <w:p>
      <w:pPr>
        <w:pStyle w:val="Heading1"/>
      </w:pPr>
      <w:r>
        <w:t>Part A — Read the sample record</w:t>
      </w:r>
    </w:p>
    <w:p>
      <w:r>
        <w:rPr>
          <w:rFonts w:ascii="Aptos" w:hAnsi="Aptos"/>
          <w:sz w:val="21"/>
        </w:rPr>
        <w:t>Open the companion file website/public/labs/windows-process-creation-samples.json, or use the sample-data download button on this lab card. It contains intentionally simplified training records with synthetic IDs. Do not treat them as live telemetry.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36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Sample value</w:t>
            </w:r>
          </w:p>
        </w:tc>
        <w:tc>
          <w:tcPr>
            <w:tcW w:type="dxa" w:w="336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event_id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SAMPLE-4688-001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Training identifier, not a real Windows ID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windows_event_id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4688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Windows Security process-creation event ID, if auditing is configured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host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TRAINING-WIN-01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Synthetic host label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process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C:\Windows\System32\notepad.exe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Harmless example process path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user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STUDENT-LAB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Synthetic username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label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benign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Expected label for this training record</w:t>
            </w:r>
          </w:p>
        </w:tc>
      </w:tr>
    </w:tbl>
    <w:p>
      <w:pPr>
        <w:pStyle w:val="Heading1"/>
      </w:pPr>
      <w:r>
        <w:t>Part B — Optional local verification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1. </w:t>
      </w:r>
      <w:r>
        <w:rPr>
          <w:rFonts w:ascii="Aptos" w:hAnsi="Aptos" w:eastAsia="Aptos"/>
          <w:b w:val="0"/>
          <w:i w:val="0"/>
          <w:color w:val="12263A"/>
          <w:sz w:val="21"/>
        </w:rPr>
        <w:t>Open Event Viewer on your own Windows computer (search the Start menu for Event Viewer).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2. </w:t>
      </w:r>
      <w:r>
        <w:rPr>
          <w:rFonts w:ascii="Aptos" w:hAnsi="Aptos" w:eastAsia="Aptos"/>
          <w:b w:val="0"/>
          <w:i w:val="0"/>
          <w:color w:val="12263A"/>
          <w:sz w:val="21"/>
        </w:rPr>
        <w:t>Browse to Windows Logs &gt; Security. Access may require appropriate permissions; do not change policy if you are unsure.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3. </w:t>
      </w:r>
      <w:r>
        <w:rPr>
          <w:rFonts w:ascii="Aptos" w:hAnsi="Aptos" w:eastAsia="Aptos"/>
          <w:b w:val="0"/>
          <w:i w:val="0"/>
          <w:color w:val="12263A"/>
          <w:sz w:val="21"/>
        </w:rPr>
        <w:t>If process-creation auditing is already enabled, inspect a recently created benign process such as Notepad and locate the relevant event record.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4. </w:t>
      </w:r>
      <w:r>
        <w:rPr>
          <w:rFonts w:ascii="Aptos" w:hAnsi="Aptos" w:eastAsia="Aptos"/>
          <w:b w:val="0"/>
          <w:i w:val="0"/>
          <w:color w:val="12263A"/>
          <w:sz w:val="21"/>
        </w:rPr>
        <w:t>If no matching event appears, use the bundled sample data. Process-creation auditing may not be enabled by default; this exercise does not require changing group policy.</w:t>
      </w:r>
    </w:p>
    <w:p>
      <w:pPr>
        <w:pStyle w:val="Heading1"/>
      </w:pPr>
      <w:r>
        <w:t>Part C — Investigate the training case</w:t>
      </w:r>
    </w:p>
    <w:p>
      <w:r>
        <w:rPr>
          <w:rFonts w:ascii="Aptos" w:hAnsi="Aptos" w:eastAsia="Aptos"/>
          <w:b w:val="0"/>
          <w:i w:val="0"/>
          <w:color w:val="12263A"/>
          <w:sz w:val="21"/>
        </w:rPr>
        <w:t>The second sample is marked suspicious for the purpose of exercising a rule because its command-line field contains an encoded-command indicator. This label is a training ground truth, not proof that a real user or device is compromised.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1. </w:t>
      </w:r>
      <w:r>
        <w:rPr>
          <w:rFonts w:ascii="Aptos" w:hAnsi="Aptos" w:eastAsia="Aptos"/>
          <w:b w:val="0"/>
          <w:i w:val="0"/>
          <w:color w:val="12263A"/>
          <w:sz w:val="21"/>
        </w:rPr>
        <w:t>Record the event type, host, user, process, and command-line context.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2. </w:t>
      </w:r>
      <w:r>
        <w:rPr>
          <w:rFonts w:ascii="Aptos" w:hAnsi="Aptos" w:eastAsia="Aptos"/>
          <w:b w:val="0"/>
          <w:i w:val="0"/>
          <w:color w:val="12263A"/>
          <w:sz w:val="21"/>
        </w:rPr>
        <w:t>Describe the exact condition that caused the rule to match.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3. </w:t>
      </w:r>
      <w:r>
        <w:rPr>
          <w:rFonts w:ascii="Aptos" w:hAnsi="Aptos" w:eastAsia="Aptos"/>
          <w:b w:val="0"/>
          <w:i w:val="0"/>
          <w:color w:val="12263A"/>
          <w:sz w:val="21"/>
        </w:rPr>
        <w:t>List at least two pieces of additional context you would seek in a real investigation.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4. </w:t>
      </w:r>
      <w:r>
        <w:rPr>
          <w:rFonts w:ascii="Aptos" w:hAnsi="Aptos" w:eastAsia="Aptos"/>
          <w:b w:val="0"/>
          <w:i w:val="0"/>
          <w:color w:val="12263A"/>
          <w:sz w:val="21"/>
        </w:rPr>
        <w:t>Describe one legitimate reason administrative PowerShell may be used.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5. </w:t>
      </w:r>
      <w:r>
        <w:rPr>
          <w:rFonts w:ascii="Aptos" w:hAnsi="Aptos" w:eastAsia="Aptos"/>
          <w:b w:val="0"/>
          <w:i w:val="0"/>
          <w:color w:val="12263A"/>
          <w:sz w:val="21"/>
        </w:rPr>
        <w:t>Write a short conclusion using “observed”, “suggests”, and “not yet confirmed” accurately.</w:t>
      </w:r>
    </w:p>
    <w:p>
      <w:pPr>
        <w:pStyle w:val="Heading1"/>
      </w:pPr>
      <w:r>
        <w:t>Answer key / discussion</w:t>
      </w:r>
    </w:p>
    <w:p>
      <w:r>
        <w:rPr>
          <w:rFonts w:ascii="Aptos" w:hAnsi="Aptos" w:eastAsia="Aptos"/>
          <w:b w:val="0"/>
          <w:i w:val="0"/>
          <w:color w:val="12263A"/>
          <w:sz w:val="21"/>
        </w:rPr>
        <w:t>The benign Notepad record should not match a rule scoped to PowerShell encoded-command indicators. The labelled PowerShell training record should match if the rule checks the process name and relevant argument marker. That rule is only a triage signal; analyst review is needed to establish intent and scope.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5F5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137A63"/>
                <w:sz w:val="18"/>
              </w:rPr>
              <w:t xml:space="preserve">SUCCESS CRITERIA  </w:t>
            </w:r>
            <w:r>
              <w:rPr>
                <w:rFonts w:ascii="Aptos" w:hAnsi="Aptos" w:eastAsia="Aptos"/>
                <w:b w:val="0"/>
                <w:i w:val="0"/>
                <w:color w:val="12263A"/>
                <w:sz w:val="20"/>
              </w:rPr>
              <w:t>Your note cites observable fields, explains the rule match, identifies missing evidence, and avoids claiming that a rule match alone proves malicious intent.</w:t>
            </w:r>
          </w:p>
        </w:tc>
      </w:tr>
    </w:tbl>
    <w:p>
      <w:pPr>
        <w:spacing w:after="20"/>
      </w:pPr>
    </w:p>
    <w:p>
      <w:pPr>
        <w:pStyle w:val="Heading1"/>
      </w:pPr>
      <w:r>
        <w:t>Further study</w:t>
      </w:r>
    </w:p>
    <w:p>
      <w:pPr>
        <w:pStyle w:val="ListBullet"/>
      </w:pPr>
      <w:hyperlink r:id="rId11">
        <w:r>
          <w:rPr>
            <w:color w:val="137A63"/>
            <w:u w:val="single"/>
          </w:rPr>
          <w:t>Windows event auditing overview (Microsoft Learn)</w:t>
        </w:r>
      </w:hyperlink>
    </w:p>
    <w:p>
      <w:pPr>
        <w:pStyle w:val="ListBullet"/>
      </w:pPr>
      <w:hyperlink r:id="rId12">
        <w:r>
          <w:rPr>
            <w:color w:val="137A63"/>
            <w:u w:val="single"/>
          </w:rPr>
          <w:t>Wazuh getting started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697C8C"/>
        <w:sz w:val="16"/>
      </w:rPr>
      <w:t>Learner-built resource • Verify provider docs and lab scope • No job guarantees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63768A"/>
        <w:sz w:val="16"/>
      </w:rPr>
      <w:t>OPENCYBERPATH  /  FREE LEARNING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eastAsia="Aptos"/>
      <w:color w:val="1226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37A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459A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26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26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windows/security/threat-protection/auditing/basic-audit-process-creation" TargetMode="External"/><Relationship Id="rId12" Type="http://schemas.openxmlformats.org/officeDocument/2006/relationships/hyperlink" Target="https://documentation.wazuh.com/current/getting-started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 Windows Process Event Triage</dc:title>
  <dc:subject/>
  <dc:creator>OpenCyberPath community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