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 Display" w:hAnsi="Aptos Display" w:eastAsia="Aptos Display"/>
          <w:b/>
          <w:i w:val="0"/>
          <w:color w:val="12263A"/>
          <w:sz w:val="52"/>
        </w:rPr>
        <w:t>Lab 02: Evaluate a Detection Rule</w:t>
      </w:r>
    </w:p>
    <w:p>
      <w:pPr>
        <w:spacing w:after="240"/>
      </w:pPr>
      <w:r>
        <w:rPr>
          <w:rFonts w:ascii="Aptos" w:hAnsi="Aptos" w:eastAsia="Aptos"/>
          <w:b w:val="0"/>
          <w:i/>
          <w:color w:val="137A63"/>
          <w:sz w:val="24"/>
        </w:rPr>
        <w:t>Practice cases, confusion-matrix metrics, and transparent reporting</w:t>
      </w:r>
    </w:p>
    <w:p>
      <w:pPr>
        <w:pStyle w:val="Heading1"/>
      </w:pPr>
      <w:r>
        <w:t>Objective</w:t>
      </w:r>
    </w:p>
    <w:p>
      <w:r>
        <w:rPr>
          <w:rFonts w:ascii="Aptos" w:hAnsi="Aptos" w:eastAsia="Aptos"/>
          <w:b w:val="0"/>
          <w:i w:val="0"/>
          <w:color w:val="12263A"/>
          <w:sz w:val="21"/>
        </w:rPr>
        <w:t>Evaluate a simple rule against labelled training scenarios. The important result is not a high score by itself; it is understanding what the rule catches, what it misses, and which labels or assumptions affect the result.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3D8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i w:val="0"/>
                <w:color w:val="9A6415"/>
                <w:sz w:val="18"/>
              </w:rPr>
              <w:t xml:space="preserve">USE ONLY TRAINING DATA  </w:t>
            </w:r>
            <w:r>
              <w:rPr>
                <w:rFonts w:ascii="Aptos" w:hAnsi="Aptos" w:eastAsia="Aptos"/>
                <w:b w:val="0"/>
                <w:i w:val="0"/>
                <w:color w:val="12263A"/>
                <w:sz w:val="20"/>
              </w:rPr>
              <w:t>The bundled cases are synthetic and intended for learning. They are not measured real-world attack performance.</w:t>
            </w:r>
          </w:p>
        </w:tc>
      </w:tr>
    </w:tbl>
    <w:p>
      <w:pPr>
        <w:spacing w:after="20"/>
      </w:pPr>
    </w:p>
    <w:p>
      <w:pPr>
        <w:pStyle w:val="Heading1"/>
      </w:pPr>
      <w:r>
        <w:t>Step 1 — Review the included cases</w:t>
      </w:r>
    </w:p>
    <w:p>
      <w:r>
        <w:rPr>
          <w:rFonts w:ascii="Aptos" w:hAnsi="Aptos"/>
          <w:sz w:val="21"/>
        </w:rPr>
        <w:t>Open website/public/labs/detection-evaluation-cases.csv, or download the CSV from this lab card. Each row includes a case ID, a labelled scenario, process, command line, and rationale. The companion Python script applies a deliberately narrow sample rule and calculates its results. All cases are synthetic.</w:t>
      </w:r>
    </w:p>
    <w:p>
      <w:r>
        <w:rPr>
          <w:rFonts w:ascii="Aptos" w:hAnsi="Aptos" w:eastAsia="Aptos"/>
          <w:b w:val="0"/>
          <w:i w:val="0"/>
          <w:color w:val="12263A"/>
          <w:sz w:val="21"/>
        </w:rPr>
        <w:t>From the website folder, run: python public/labs/evaluate-detection-cases.py public/labs/detection-evaluation-cases.csv</w:t>
      </w:r>
    </w:p>
    <w:p>
      <w:pPr>
        <w:pStyle w:val="Heading1"/>
      </w:pPr>
      <w:r>
        <w:t>Step 2 — Count outcomes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12263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Actual label</w:t>
            </w:r>
          </w:p>
        </w:tc>
        <w:tc>
          <w:tcPr>
            <w:tcW w:type="dxa" w:w="3360"/>
            <w:shd w:fill="12263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Rule alerts</w:t>
            </w:r>
          </w:p>
        </w:tc>
        <w:tc>
          <w:tcPr>
            <w:tcW w:type="dxa" w:w="3360"/>
            <w:shd w:fill="12263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Classification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Suspicious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Yes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True positive (TP)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Benign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Yes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False positive (FP)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Benign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No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True negative (TN)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Suspicious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No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False negative (FN)</w:t>
            </w:r>
          </w:p>
        </w:tc>
      </w:tr>
    </w:tbl>
    <w:p>
      <w:r>
        <w:br w:type="page"/>
      </w:r>
    </w:p>
    <w:p>
      <w:pPr>
        <w:pStyle w:val="Heading1"/>
      </w:pPr>
      <w:r>
        <w:t>Step 3 — Use the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fill="12263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3360"/>
            <w:shd w:fill="12263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Formula</w:t>
            </w:r>
          </w:p>
        </w:tc>
        <w:tc>
          <w:tcPr>
            <w:tcW w:type="dxa" w:w="3360"/>
            <w:shd w:fill="12263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What it tells you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Accuracy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(TP + TN) / all cases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Overall correctness; can mislead on imbalanced data.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Precision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TP / (TP + FP)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How many alerts were true positives in the labelled set.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Recall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TP / (TP + FN)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How many labelled suspicious cases were detected.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Specificity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TN / (TN + FP)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shd w:fill="F3F6F8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How many labelled benign cases were correctly ignored.</w:t>
            </w:r>
          </w:p>
        </w:tc>
      </w:tr>
      <w:tr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F1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2 × P × R / (P + R)</w:t>
            </w:r>
          </w:p>
        </w:tc>
        <w:tc>
          <w:tcPr>
            <w:tcW w:type="dxa" w:w="336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Harmonic mean of precision and recall.</w:t>
            </w:r>
          </w:p>
        </w:tc>
      </w:tr>
    </w:tbl>
    <w:p>
      <w:pPr>
        <w:pStyle w:val="Heading1"/>
      </w:pPr>
      <w:r>
        <w:t>Step 4 — Experiment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1. </w:t>
      </w:r>
      <w:r>
        <w:rPr>
          <w:rFonts w:ascii="Aptos" w:hAnsi="Aptos" w:eastAsia="Aptos"/>
          <w:b w:val="0"/>
          <w:i w:val="0"/>
          <w:color w:val="12263A"/>
          <w:sz w:val="21"/>
        </w:rPr>
        <w:t>Record the baseline counts (TP, FP, TN, FN) before changing a rule.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2. </w:t>
      </w:r>
      <w:r>
        <w:rPr>
          <w:rFonts w:ascii="Aptos" w:hAnsi="Aptos" w:eastAsia="Aptos"/>
          <w:b w:val="0"/>
          <w:i w:val="0"/>
          <w:color w:val="12263A"/>
          <w:sz w:val="21"/>
        </w:rPr>
        <w:t>Inspect each false positive. Is the rule too broad, or is context missing?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3. </w:t>
      </w:r>
      <w:r>
        <w:rPr>
          <w:rFonts w:ascii="Aptos" w:hAnsi="Aptos" w:eastAsia="Aptos"/>
          <w:b w:val="0"/>
          <w:i w:val="0"/>
          <w:color w:val="12263A"/>
          <w:sz w:val="21"/>
        </w:rPr>
        <w:t>Inspect each false negative. What relevant field or event pattern is missing?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4. </w:t>
      </w:r>
      <w:r>
        <w:rPr>
          <w:rFonts w:ascii="Aptos" w:hAnsi="Aptos" w:eastAsia="Aptos"/>
          <w:b w:val="0"/>
          <w:i w:val="0"/>
          <w:color w:val="12263A"/>
          <w:sz w:val="21"/>
        </w:rPr>
        <w:t>Change one condition at a time in your own local practice copy.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5. </w:t>
      </w:r>
      <w:r>
        <w:rPr>
          <w:rFonts w:ascii="Aptos" w:hAnsi="Aptos" w:eastAsia="Aptos"/>
          <w:b w:val="0"/>
          <w:i w:val="0"/>
          <w:color w:val="12263A"/>
          <w:sz w:val="21"/>
        </w:rPr>
        <w:t>Re-run the same dataset and compare counts. Keep both baseline and revised results.</w:t>
      </w:r>
    </w:p>
    <w:p>
      <w:pPr>
        <w:spacing w:after="60"/>
        <w:ind w:left="317" w:hanging="317"/>
      </w:pPr>
      <w:r>
        <w:rPr>
          <w:rFonts w:ascii="Aptos" w:hAnsi="Aptos" w:eastAsia="Aptos"/>
          <w:b/>
          <w:i w:val="0"/>
          <w:color w:val="137A63"/>
          <w:sz w:val="21"/>
        </w:rPr>
        <w:t xml:space="preserve">6. </w:t>
      </w:r>
      <w:r>
        <w:rPr>
          <w:rFonts w:ascii="Aptos" w:hAnsi="Aptos" w:eastAsia="Aptos"/>
          <w:b w:val="0"/>
          <w:i w:val="0"/>
          <w:color w:val="12263A"/>
          <w:sz w:val="21"/>
        </w:rPr>
        <w:t>Do not tune on a small set and then present that same score as independent validation.</w:t>
      </w:r>
    </w:p>
    <w:p>
      <w:pPr>
        <w:pStyle w:val="Heading1"/>
      </w:pPr>
      <w:r>
        <w:t>Step 5 — Write a reproducible report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Dataset filename and version.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Number of cases and label distribution.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Rule logic and required log fields.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TP, FP, TN, FN and calculated metrics.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Two examples of false positives or false negatives, if present.</w:t>
      </w:r>
    </w:p>
    <w:p>
      <w:pPr>
        <w:pStyle w:val="ListBullet"/>
        <w:spacing w:after="40"/>
      </w:pPr>
      <w:r>
        <w:rPr>
          <w:rFonts w:ascii="Aptos" w:hAnsi="Aptos" w:eastAsia="Aptos"/>
          <w:b w:val="0"/>
          <w:i w:val="0"/>
          <w:color w:val="12263A"/>
          <w:sz w:val="21"/>
        </w:rPr>
        <w:t>Limitations, environment, and the next experiment.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2FF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i w:val="0"/>
                <w:color w:val="2459A9"/>
                <w:sz w:val="18"/>
              </w:rPr>
              <w:t xml:space="preserve">ADVANCED HABIT  </w:t>
            </w:r>
            <w:r>
              <w:rPr>
                <w:rFonts w:ascii="Aptos" w:hAnsi="Aptos" w:eastAsia="Aptos"/>
                <w:b w:val="0"/>
                <w:i w:val="0"/>
                <w:color w:val="12263A"/>
                <w:sz w:val="20"/>
              </w:rPr>
              <w:t>Separate development data from a held-out evaluation set when the dataset is large enough. Review labels, duplicates, and scenario coverage.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i w:val="0"/>
        <w:color w:val="697C8C"/>
        <w:sz w:val="16"/>
      </w:rPr>
      <w:t>Learner-built resource • Verify provider docs and lab scope • No job guarantees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/>
        <w:i w:val="0"/>
        <w:color w:val="63768A"/>
        <w:sz w:val="16"/>
      </w:rPr>
      <w:t>OPENCYBERPATH  /  FREE LEARNING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ptos" w:hAnsi="Aptos" w:eastAsia="Aptos"/>
      <w:color w:val="1226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37A6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459A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226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2263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 Detection Rule Evaluation</dc:title>
  <dc:subject/>
  <dc:creator>OpenCyberPath community contributors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