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160"/>
        <w:jc w:val="center"/>
      </w:pPr>
      <w:r>
        <w:rPr>
          <w:rFonts w:ascii="Z003" w:hAnsi="Z003" w:eastAsia="Z003" w:cs="Z003"/>
          <w:b/>
          <w:i/>
          <w:color w:val="17477A"/>
          <w:sz w:val="24"/>
        </w:rPr>
        <w:t>OPENCYBERPATH</w:t>
      </w:r>
    </w:p>
    <w:p>
      <w:pPr>
        <w:spacing w:before="200" w:after="180"/>
        <w:jc w:val="center"/>
      </w:pPr>
      <w:r>
        <w:rPr>
          <w:rFonts w:ascii="Z003" w:hAnsi="Z003" w:eastAsia="Z003" w:cs="Z003"/>
          <w:b/>
          <w:i/>
          <w:color w:val="17477A"/>
          <w:sz w:val="24"/>
        </w:rPr>
        <w:t>SOC &amp; SIEM</w:t>
        <w:br/>
        <w:t>Fundamentals</w:t>
      </w:r>
    </w:p>
    <w:p>
      <w:pPr>
        <w:spacing w:after="360"/>
        <w:jc w:val="center"/>
      </w:pPr>
      <w:r>
        <w:rPr>
          <w:rFonts w:ascii="Z003" w:hAnsi="Z003" w:eastAsia="Z003" w:cs="Z003"/>
          <w:b w:val="0"/>
          <w:i/>
          <w:color w:val="17477A"/>
          <w:sz w:val="24"/>
        </w:rPr>
        <w:t>From first security words to evidence-based investigation</w:t>
      </w:r>
    </w:p>
    <w:p>
      <w:pPr>
        <w:spacing w:after="300"/>
        <w:jc w:val="center"/>
      </w:pPr>
      <w:r>
        <w:rPr>
          <w:rFonts w:ascii="Z003" w:hAnsi="Z003" w:eastAsia="Z003" w:cs="Z003"/>
          <w:b/>
          <w:i/>
          <w:color w:val="17477A"/>
          <w:sz w:val="24"/>
        </w:rPr>
        <w:t>NOTEBOOK 01  •  BEGINNER → INTERMEDIATE → ADVANCED  •  REVISION EDITION</w:t>
      </w:r>
    </w:p>
    <w:tbl>
      <w:tblPr>
        <w:tblW w:type="auto" w:w="0"/>
        <w:jc w:val="center"/>
        <w:tblLayout w:type="autofit"/>
        <w:tblLook w:firstColumn="1" w:firstRow="1" w:lastColumn="0" w:lastRow="0" w:noHBand="0" w:noVBand="1" w:val="04A0"/>
      </w:tblPr>
      <w:tblGrid>
        <w:gridCol w:w="9576"/>
      </w:tblGrid>
      <w:tr>
        <w:tc>
          <w:tcPr>
            <w:tcW w:type="dxa" w:w="9576"/>
            <w:shd w:fill="EAF3FC"/>
            <w:tcBorders>
              <w:top w:val="nil"/>
              <w:left w:val="single" w:sz="18" w:color="2D6FA2"/>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NOTEBOOK PROMISE  </w:t>
            </w:r>
            <w:r>
              <w:rPr>
                <w:rFonts w:ascii="Comic Neue" w:hAnsi="Comic Neue" w:eastAsia="Comic Neue" w:cs="Comic Neue"/>
                <w:b w:val="0"/>
                <w:i/>
                <w:color w:val="17477A"/>
                <w:sz w:val="18"/>
              </w:rPr>
              <w:t>Plain language first. Define every important word. Show the clue, explain what it does and does not prove, then choose a safe next step.</w:t>
            </w:r>
          </w:p>
        </w:tc>
      </w:tr>
    </w:tbl>
    <w:p>
      <w:pPr>
        <w:spacing w:after="20" w:line="144" w:lineRule="auto"/>
      </w:pPr>
    </w:p>
    <w:p>
      <w:pPr>
        <w:pStyle w:val="Heading2"/>
        <w:keepNext/>
      </w:pPr>
      <w:r>
        <w:rPr>
          <w:rFonts w:ascii="Z003" w:hAnsi="Z003" w:eastAsia="Z003" w:cs="Z003"/>
          <w:b/>
          <w:i w:val="0"/>
          <w:color w:val="B45137"/>
          <w:sz w:val="31"/>
        </w:rPr>
        <w:t>By the end, you can…</w:t>
      </w:r>
    </w:p>
    <w:p>
      <w:pPr>
        <w:pStyle w:val="ListBullet"/>
        <w:spacing w:after="50" w:line="245" w:lineRule="auto"/>
        <w:ind w:left="317" w:hanging="202"/>
      </w:pPr>
      <w:r>
        <w:rPr>
          <w:rFonts w:ascii="Z003" w:hAnsi="Z003" w:eastAsia="Z003" w:cs="Z003"/>
          <w:b w:val="0"/>
          <w:i/>
          <w:color w:val="17477A"/>
          <w:sz w:val="24"/>
        </w:rPr>
        <w:t>Explain what a SOC analyst does and how a SIEM helps.</w:t>
      </w:r>
    </w:p>
    <w:p>
      <w:pPr>
        <w:pStyle w:val="ListBullet"/>
        <w:spacing w:after="50" w:line="245" w:lineRule="auto"/>
        <w:ind w:left="317" w:hanging="202"/>
      </w:pPr>
      <w:r>
        <w:rPr>
          <w:rFonts w:ascii="Z003" w:hAnsi="Z003" w:eastAsia="Z003" w:cs="Z003"/>
          <w:b w:val="0"/>
          <w:i/>
          <w:color w:val="17477A"/>
          <w:sz w:val="24"/>
        </w:rPr>
        <w:t>Tell an event, an alert, and an incident apart.</w:t>
      </w:r>
    </w:p>
    <w:p>
      <w:pPr>
        <w:pStyle w:val="ListBullet"/>
        <w:spacing w:after="50" w:line="245" w:lineRule="auto"/>
        <w:ind w:left="317" w:hanging="202"/>
      </w:pPr>
      <w:r>
        <w:rPr>
          <w:rFonts w:ascii="Z003" w:hAnsi="Z003" w:eastAsia="Z003" w:cs="Z003"/>
          <w:b w:val="0"/>
          <w:i/>
          <w:color w:val="17477A"/>
          <w:sz w:val="24"/>
        </w:rPr>
        <w:t>Read basic synthetic log records without panicking at unfamiliar fields.</w:t>
      </w:r>
    </w:p>
    <w:p>
      <w:pPr>
        <w:pStyle w:val="ListBullet"/>
        <w:spacing w:after="50" w:line="245" w:lineRule="auto"/>
        <w:ind w:left="317" w:hanging="202"/>
      </w:pPr>
      <w:r>
        <w:rPr>
          <w:rFonts w:ascii="Z003" w:hAnsi="Z003" w:eastAsia="Z003" w:cs="Z003"/>
          <w:b w:val="0"/>
          <w:i/>
          <w:color w:val="17477A"/>
          <w:sz w:val="24"/>
        </w:rPr>
        <w:t>Triage alerts, test explanations, and record evidence clearly.</w:t>
      </w:r>
    </w:p>
    <w:p>
      <w:pPr>
        <w:pStyle w:val="ListBullet"/>
        <w:spacing w:after="50" w:line="245" w:lineRule="auto"/>
        <w:ind w:left="317" w:hanging="202"/>
      </w:pPr>
      <w:r>
        <w:rPr>
          <w:rFonts w:ascii="Z003" w:hAnsi="Z003" w:eastAsia="Z003" w:cs="Z003"/>
          <w:b w:val="0"/>
          <w:i/>
          <w:color w:val="17477A"/>
          <w:sz w:val="24"/>
        </w:rPr>
        <w:t>Understand detection quality, threat hunting, and incident response at a beginner-friendly level.</w:t>
      </w:r>
    </w:p>
    <w:tbl>
      <w:tblPr>
        <w:tblW w:type="auto" w:w="0"/>
        <w:jc w:val="center"/>
        <w:tblLayout w:type="autofit"/>
        <w:tblLook w:firstColumn="1" w:firstRow="1" w:lastColumn="0" w:lastRow="0" w:noHBand="0" w:noVBand="1" w:val="04A0"/>
      </w:tblPr>
      <w:tblGrid>
        <w:gridCol w:w="9576"/>
      </w:tblGrid>
      <w:tr>
        <w:tc>
          <w:tcPr>
            <w:tcW w:type="dxa" w:w="9576"/>
            <w:shd w:fill="FFF3CF"/>
            <w:tcBorders>
              <w:top w:val="nil"/>
              <w:left w:val="single" w:sz="18" w:color="C28827"/>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SAFETY + HONESTY  </w:t>
            </w:r>
            <w:r>
              <w:rPr>
                <w:rFonts w:ascii="Comic Neue" w:hAnsi="Comic Neue" w:eastAsia="Comic Neue" w:cs="Comic Neue"/>
                <w:b w:val="0"/>
                <w:i/>
                <w:color w:val="17477A"/>
                <w:sz w:val="18"/>
              </w:rPr>
              <w:t>These notes teach defensive analysis. Sample records are fictional. Do not investigate real people or devices without permission, and never treat one alert as proof by itself.</w:t>
            </w:r>
          </w:p>
        </w:tc>
      </w:tr>
    </w:tbl>
    <w:p>
      <w:pPr>
        <w:spacing w:after="20" w:line="144" w:lineRule="auto"/>
      </w:pPr>
    </w:p>
    <w:p>
      <w:r>
        <w:rPr>
          <w:rFonts w:ascii="Z003" w:hAnsi="Z003" w:eastAsia="Z003" w:cs="Z003"/>
          <w:b w:val="0"/>
          <w:i/>
          <w:color w:val="17477A"/>
          <w:sz w:val="24"/>
        </w:rPr>
        <w:t>How to study: read one section, cover it, explain it aloud, then try the worked example before checking the answer.</w:t>
      </w:r>
    </w:p>
    <w:p>
      <w:pPr>
        <w:pStyle w:val="Heading1"/>
        <w:keepNext/>
        <w:pageBreakBefore/>
      </w:pPr>
      <w:r>
        <w:rPr>
          <w:rFonts w:ascii="Z003" w:hAnsi="Z003" w:eastAsia="Z003" w:cs="Z003"/>
          <w:b/>
          <w:i w:val="0"/>
          <w:color w:val="17477A"/>
          <w:sz w:val="40"/>
        </w:rPr>
        <w:t>Start here: what are we learning?</w:t>
      </w:r>
    </w:p>
    <w:p>
      <w:r>
        <w:rPr>
          <w:rFonts w:ascii="Z003" w:hAnsi="Z003" w:eastAsia="Z003" w:cs="Z003"/>
          <w:b w:val="0"/>
          <w:i/>
          <w:color w:val="17477A"/>
          <w:sz w:val="24"/>
        </w:rPr>
        <w:t>Cybersecurity is the work of protecting computers, accounts, networks, applications, and information. Security operations focuses on noticing when something may be wrong and helping the right people respond.</w:t>
      </w:r>
    </w:p>
    <w:p>
      <w:r>
        <w:rPr>
          <w:rFonts w:ascii="Z003" w:hAnsi="Z003" w:eastAsia="Z003" w:cs="Z003"/>
          <w:b w:val="0"/>
          <w:i/>
          <w:color w:val="17477A"/>
          <w:sz w:val="24"/>
        </w:rPr>
        <w:t>A SOC is a Security Operations Center. It may be a physical team, a virtual team, or a group that performs security monitoring as part of another IT function. People in a SOC watch security signals, ask questions, and coordinate response.</w:t>
      </w:r>
    </w:p>
    <w:p>
      <w:r>
        <w:rPr>
          <w:rFonts w:ascii="Z003" w:hAnsi="Z003" w:eastAsia="Z003" w:cs="Z003"/>
          <w:b w:val="0"/>
          <w:i/>
          <w:color w:val="17477A"/>
          <w:sz w:val="24"/>
        </w:rPr>
        <w:t>A SIEM means Security Information and Event Management. Think of it as a searchable notebook that collects records from different systems, makes the fields more consistent, and helps rules or analysts spot patterns.</w:t>
      </w:r>
    </w:p>
    <w:tbl>
      <w:tblPr>
        <w:tblW w:type="auto" w:w="0"/>
        <w:jc w:val="center"/>
        <w:tblLayout w:type="autofit"/>
        <w:tblLook w:firstColumn="1" w:firstRow="1" w:lastColumn="0" w:lastRow="0" w:noHBand="0" w:noVBand="1" w:val="04A0"/>
      </w:tblPr>
      <w:tblGrid>
        <w:gridCol w:w="9576"/>
      </w:tblGrid>
      <w:tr>
        <w:tc>
          <w:tcPr>
            <w:tcW w:type="dxa" w:w="9576"/>
            <w:shd w:fill="FFF3CF"/>
            <w:tcBorders>
              <w:top w:val="nil"/>
              <w:left w:val="single" w:sz="18" w:color="C28827"/>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REMEMBER  </w:t>
            </w:r>
            <w:r>
              <w:rPr>
                <w:rFonts w:ascii="Comic Neue" w:hAnsi="Comic Neue" w:eastAsia="Comic Neue" w:cs="Comic Neue"/>
                <w:b w:val="0"/>
                <w:i/>
                <w:color w:val="17477A"/>
                <w:sz w:val="18"/>
              </w:rPr>
              <w:t>A SIEM can collect and organise evidence, but it cannot magically know every event is malicious. A human still needs context and careful reasoning.</w:t>
            </w:r>
          </w:p>
        </w:tc>
      </w:tr>
    </w:tbl>
    <w:p>
      <w:pPr>
        <w:spacing w:after="20" w:line="144" w:lineRule="auto"/>
      </w:pPr>
    </w:p>
    <w:p>
      <w:pPr>
        <w:pStyle w:val="Heading2"/>
        <w:keepNext/>
      </w:pPr>
      <w:r>
        <w:rPr>
          <w:rFonts w:ascii="Z003" w:hAnsi="Z003" w:eastAsia="Z003" w:cs="Z003"/>
          <w:b/>
          <w:i w:val="0"/>
          <w:color w:val="B45137"/>
          <w:sz w:val="31"/>
        </w:rPr>
        <w:t>The simplest picture</w:t>
      </w:r>
    </w:p>
    <w:tbl>
      <w:tblPr>
        <w:tblW w:type="auto" w:w="0"/>
        <w:jc w:val="center"/>
        <w:tblLayout w:type="autofit"/>
        <w:tblLook w:firstColumn="1" w:firstRow="1" w:lastColumn="0" w:lastRow="0" w:noHBand="0" w:noVBand="1" w:val="04A0"/>
      </w:tblPr>
      <w:tblGrid>
        <w:gridCol w:w="1800"/>
        <w:gridCol w:w="3096"/>
        <w:gridCol w:w="4392"/>
      </w:tblGrid>
      <w:tr>
        <w:trPr>
          <w:tblHeader w:val="true"/>
        </w:trPr>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Part</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Think of it as…</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Purpose</w:t>
            </w:r>
          </w:p>
        </w:tc>
      </w:tr>
      <w:tr>
        <w:tc>
          <w:tcPr>
            <w:tcW w:type="dxa" w:w="180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Log / event</w:t>
            </w:r>
          </w:p>
        </w:tc>
        <w:tc>
          <w:tcPr>
            <w:tcW w:type="dxa" w:w="309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receipt or diary entry</w:t>
            </w:r>
          </w:p>
        </w:tc>
        <w:tc>
          <w:tcPr>
            <w:tcW w:type="dxa" w:w="439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Records one thing that happened.</w:t>
            </w:r>
          </w:p>
        </w:tc>
      </w:tr>
      <w:tr>
        <w:tc>
          <w:tcPr>
            <w:tcW w:type="dxa" w:w="180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Detection rule</w:t>
            </w:r>
          </w:p>
        </w:tc>
        <w:tc>
          <w:tcPr>
            <w:tcW w:type="dxa" w:w="309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question or filter</w:t>
            </w:r>
          </w:p>
        </w:tc>
        <w:tc>
          <w:tcPr>
            <w:tcW w:type="dxa" w:w="439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Looks for a pattern that deserves attention.</w:t>
            </w:r>
          </w:p>
        </w:tc>
      </w:tr>
      <w:tr>
        <w:tc>
          <w:tcPr>
            <w:tcW w:type="dxa" w:w="180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Alert</w:t>
            </w:r>
          </w:p>
        </w:tc>
        <w:tc>
          <w:tcPr>
            <w:tcW w:type="dxa" w:w="309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reminder to check something</w:t>
            </w:r>
          </w:p>
        </w:tc>
        <w:tc>
          <w:tcPr>
            <w:tcW w:type="dxa" w:w="439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Points an analyst toward a possible issue.</w:t>
            </w:r>
          </w:p>
        </w:tc>
      </w:tr>
      <w:tr>
        <w:tc>
          <w:tcPr>
            <w:tcW w:type="dxa" w:w="180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Incident</w:t>
            </w:r>
          </w:p>
        </w:tc>
        <w:tc>
          <w:tcPr>
            <w:tcW w:type="dxa" w:w="309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tracked investigation</w:t>
            </w:r>
          </w:p>
        </w:tc>
        <w:tc>
          <w:tcPr>
            <w:tcW w:type="dxa" w:w="439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Groups related evidence, decisions, and actions.</w:t>
            </w:r>
          </w:p>
        </w:tc>
      </w:tr>
      <w:tr>
        <w:tc>
          <w:tcPr>
            <w:tcW w:type="dxa" w:w="180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Response</w:t>
            </w:r>
          </w:p>
        </w:tc>
        <w:tc>
          <w:tcPr>
            <w:tcW w:type="dxa" w:w="309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The agreed next action</w:t>
            </w:r>
          </w:p>
        </w:tc>
        <w:tc>
          <w:tcPr>
            <w:tcW w:type="dxa" w:w="439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Contains, fixes, restores, and learns when needed.</w:t>
            </w:r>
          </w:p>
        </w:tc>
      </w:tr>
    </w:tbl>
    <w:p/>
    <w:p>
      <w:pPr>
        <w:pageBreakBefore/>
        <w:spacing w:before="1760" w:after="280"/>
        <w:jc w:val="center"/>
      </w:pPr>
      <w:r>
        <w:rPr>
          <w:rFonts w:ascii="Z003" w:hAnsi="Z003" w:eastAsia="Z003" w:cs="Z003"/>
          <w:b/>
          <w:i/>
          <w:color w:val="17477A"/>
          <w:sz w:val="24"/>
        </w:rPr>
        <w:t>LEVEL 01</w:t>
      </w:r>
    </w:p>
    <w:p>
      <w:pPr>
        <w:spacing w:after="240"/>
        <w:jc w:val="center"/>
      </w:pPr>
      <w:r>
        <w:rPr>
          <w:rFonts w:ascii="Z003" w:hAnsi="Z003" w:eastAsia="Z003" w:cs="Z003"/>
          <w:b/>
          <w:i/>
          <w:color w:val="17477A"/>
          <w:sz w:val="24"/>
        </w:rPr>
        <w:t>Beginner foundations</w:t>
      </w:r>
    </w:p>
    <w:p>
      <w:pPr>
        <w:ind w:left="576" w:right="576"/>
        <w:jc w:val="center"/>
      </w:pPr>
      <w:r>
        <w:rPr>
          <w:rFonts w:ascii="Z003" w:hAnsi="Z003" w:eastAsia="Z003" w:cs="Z003"/>
          <w:b w:val="0"/>
          <w:i/>
          <w:color w:val="17477A"/>
          <w:sz w:val="24"/>
        </w:rPr>
        <w:t>Learn the language, follow the event trail, and ask simple evidence questions.</w:t>
      </w:r>
    </w:p>
    <w:tbl>
      <w:tblPr>
        <w:tblW w:type="auto" w:w="0"/>
        <w:jc w:val="center"/>
        <w:tblLayout w:type="autofit"/>
        <w:tblLook w:firstColumn="1" w:firstRow="1" w:lastColumn="0" w:lastRow="0" w:noHBand="0" w:noVBand="1" w:val="04A0"/>
      </w:tblPr>
      <w:tblGrid>
        <w:gridCol w:w="9576"/>
      </w:tblGrid>
      <w:tr>
        <w:tc>
          <w:tcPr>
            <w:tcW w:type="dxa" w:w="9576"/>
            <w:shd w:fill="EAF3FC"/>
            <w:tcBorders>
              <w:top w:val="nil"/>
              <w:left w:val="single" w:sz="18" w:color="2D6FA2"/>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YOUR GOAL  </w:t>
            </w:r>
            <w:r>
              <w:rPr>
                <w:rFonts w:ascii="Comic Neue" w:hAnsi="Comic Neue" w:eastAsia="Comic Neue" w:cs="Comic Neue"/>
                <w:b w:val="0"/>
                <w:i/>
                <w:color w:val="17477A"/>
                <w:sz w:val="18"/>
              </w:rPr>
              <w:t>Finish this level when you can explain the ideas in your own words and complete its practice without copying the answer.</w:t>
            </w:r>
          </w:p>
        </w:tc>
      </w:tr>
    </w:tbl>
    <w:p>
      <w:pPr>
        <w:spacing w:after="20" w:line="144" w:lineRule="auto"/>
      </w:pPr>
    </w:p>
    <w:p>
      <w:pPr>
        <w:pStyle w:val="Heading1"/>
        <w:keepNext/>
      </w:pPr>
      <w:r>
        <w:rPr>
          <w:rFonts w:ascii="Z003" w:hAnsi="Z003" w:eastAsia="Z003" w:cs="Z003"/>
          <w:b/>
          <w:i w:val="0"/>
          <w:color w:val="17477A"/>
          <w:sz w:val="40"/>
        </w:rPr>
        <w:t>1. The everyday words of security</w:t>
      </w:r>
    </w:p>
    <w:tbl>
      <w:tblPr>
        <w:tblW w:type="auto" w:w="0"/>
        <w:jc w:val="center"/>
        <w:tblLayout w:type="autofit"/>
        <w:tblLook w:firstColumn="1" w:firstRow="1" w:lastColumn="0" w:lastRow="0" w:noHBand="0" w:noVBand="1" w:val="04A0"/>
      </w:tblPr>
      <w:tblGrid>
        <w:gridCol w:w="1728"/>
        <w:gridCol w:w="3240"/>
        <w:gridCol w:w="4320"/>
      </w:tblGrid>
      <w:tr>
        <w:trPr>
          <w:tblHeader w:val="true"/>
        </w:trPr>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Word</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Easy meaning</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Small example</w:t>
            </w:r>
          </w:p>
        </w:tc>
      </w:tr>
      <w:tr>
        <w:tc>
          <w:tcPr>
            <w:tcW w:type="dxa" w:w="172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Asset</w:t>
            </w:r>
          </w:p>
        </w:tc>
        <w:tc>
          <w:tcPr>
            <w:tcW w:type="dxa" w:w="324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Something valuable to protect</w:t>
            </w:r>
          </w:p>
        </w:tc>
        <w:tc>
          <w:tcPr>
            <w:tcW w:type="dxa" w:w="432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student database or laptop.</w:t>
            </w:r>
          </w:p>
        </w:tc>
      </w:tr>
      <w:tr>
        <w:tc>
          <w:tcPr>
            <w:tcW w:type="dxa" w:w="172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Threat</w:t>
            </w:r>
          </w:p>
        </w:tc>
        <w:tc>
          <w:tcPr>
            <w:tcW w:type="dxa" w:w="324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Something that could cause harm</w:t>
            </w:r>
          </w:p>
        </w:tc>
        <w:tc>
          <w:tcPr>
            <w:tcW w:type="dxa" w:w="432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scammer trying to steal an account.</w:t>
            </w:r>
          </w:p>
        </w:tc>
      </w:tr>
      <w:tr>
        <w:tc>
          <w:tcPr>
            <w:tcW w:type="dxa" w:w="172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Vulnerability</w:t>
            </w:r>
          </w:p>
        </w:tc>
        <w:tc>
          <w:tcPr>
            <w:tcW w:type="dxa" w:w="324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weakness that could be used</w:t>
            </w:r>
          </w:p>
        </w:tc>
        <w:tc>
          <w:tcPr>
            <w:tcW w:type="dxa" w:w="432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An old application with a known flaw.</w:t>
            </w:r>
          </w:p>
        </w:tc>
      </w:tr>
      <w:tr>
        <w:tc>
          <w:tcPr>
            <w:tcW w:type="dxa" w:w="172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Risk</w:t>
            </w:r>
          </w:p>
        </w:tc>
        <w:tc>
          <w:tcPr>
            <w:tcW w:type="dxa" w:w="324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The chance and impact of harm</w:t>
            </w:r>
          </w:p>
        </w:tc>
        <w:tc>
          <w:tcPr>
            <w:tcW w:type="dxa" w:w="432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public database may expose private records.</w:t>
            </w:r>
          </w:p>
        </w:tc>
      </w:tr>
      <w:tr>
        <w:tc>
          <w:tcPr>
            <w:tcW w:type="dxa" w:w="172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Control</w:t>
            </w:r>
          </w:p>
        </w:tc>
        <w:tc>
          <w:tcPr>
            <w:tcW w:type="dxa" w:w="324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safeguard that lowers risk</w:t>
            </w:r>
          </w:p>
        </w:tc>
        <w:tc>
          <w:tcPr>
            <w:tcW w:type="dxa" w:w="432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MFA, backups, access limits, logging.</w:t>
            </w:r>
          </w:p>
        </w:tc>
      </w:tr>
      <w:tr>
        <w:tc>
          <w:tcPr>
            <w:tcW w:type="dxa" w:w="172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Indicator</w:t>
            </w:r>
          </w:p>
        </w:tc>
        <w:tc>
          <w:tcPr>
            <w:tcW w:type="dxa" w:w="324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clue that may be relevant</w:t>
            </w:r>
          </w:p>
        </w:tc>
        <w:tc>
          <w:tcPr>
            <w:tcW w:type="dxa" w:w="432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An unfamiliar sign-in location or file hash.</w:t>
            </w:r>
          </w:p>
        </w:tc>
      </w:tr>
      <w:tr>
        <w:tc>
          <w:tcPr>
            <w:tcW w:type="dxa" w:w="172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Baseline</w:t>
            </w:r>
          </w:p>
        </w:tc>
        <w:tc>
          <w:tcPr>
            <w:tcW w:type="dxa" w:w="324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What normal usually looks like</w:t>
            </w:r>
          </w:p>
        </w:tc>
        <w:tc>
          <w:tcPr>
            <w:tcW w:type="dxa" w:w="432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Typical logins for a service account.</w:t>
            </w:r>
          </w:p>
        </w:tc>
      </w:tr>
    </w:tbl>
    <w:p/>
    <w:p>
      <w:pPr>
        <w:pStyle w:val="Heading1"/>
        <w:keepNext/>
      </w:pPr>
      <w:r>
        <w:rPr>
          <w:rFonts w:ascii="Z003" w:hAnsi="Z003" w:eastAsia="Z003" w:cs="Z003"/>
          <w:b/>
          <w:i w:val="0"/>
          <w:color w:val="17477A"/>
          <w:sz w:val="40"/>
        </w:rPr>
        <w:t>2. A simple telemetry journey</w:t>
      </w:r>
    </w:p>
    <w:p>
      <w:pPr>
        <w:keepLines/>
        <w:spacing w:before="20" w:after="20"/>
        <w:jc w:val="center"/>
      </w:pPr>
      <w:r>
        <w:drawing>
          <wp:inline xmlns:a="http://schemas.openxmlformats.org/drawingml/2006/main" xmlns:pic="http://schemas.openxmlformats.org/drawingml/2006/picture">
            <wp:extent cx="5715000" cy="2063750"/>
            <wp:docPr id="1" name="Picture 1" descr="The path from a source event to analyst review"/>
            <wp:cNvGraphicFramePr>
              <a:graphicFrameLocks noChangeAspect="1"/>
            </wp:cNvGraphicFramePr>
            <a:graphic>
              <a:graphicData uri="http://schemas.openxmlformats.org/drawingml/2006/picture">
                <pic:pic>
                  <pic:nvPicPr>
                    <pic:cNvPr id="0" name="soc-telemetry-pipeline.png"/>
                    <pic:cNvPicPr/>
                  </pic:nvPicPr>
                  <pic:blipFill>
                    <a:blip r:embed="rId11"/>
                    <a:stretch>
                      <a:fillRect/>
                    </a:stretch>
                  </pic:blipFill>
                  <pic:spPr>
                    <a:xfrm>
                      <a:off x="0" y="0"/>
                      <a:ext cx="5715000" cy="2063750"/>
                    </a:xfrm>
                    <a:prstGeom prst="rect"/>
                  </pic:spPr>
                </pic:pic>
              </a:graphicData>
            </a:graphic>
          </wp:inline>
        </w:drawing>
      </w:r>
    </w:p>
    <w:p>
      <w:pPr>
        <w:keepLines/>
        <w:spacing w:before="0" w:after="80"/>
        <w:jc w:val="center"/>
      </w:pPr>
      <w:r>
        <w:rPr>
          <w:rFonts w:ascii="Z003" w:hAnsi="Z003" w:cs="Z003" w:eastAsia="Z003"/>
          <w:b w:val="0"/>
          <w:i/>
          <w:color w:val="267C75"/>
          <w:sz w:val="21"/>
        </w:rPr>
        <w:t>FIGURE 01 • The path from a source event to analyst review</w:t>
      </w:r>
    </w:p>
    <w:p>
      <w:pPr>
        <w:pStyle w:val="ListNumber"/>
        <w:spacing w:after="50"/>
        <w:ind w:left="317" w:hanging="202"/>
      </w:pPr>
      <w:r>
        <w:rPr>
          <w:rFonts w:ascii="Z003" w:hAnsi="Z003" w:eastAsia="Z003" w:cs="Z003"/>
          <w:b w:val="0"/>
          <w:i/>
          <w:color w:val="17477A"/>
          <w:sz w:val="24"/>
        </w:rPr>
        <w:t>A device or service records an event, such as a login or process start.</w:t>
      </w:r>
    </w:p>
    <w:p>
      <w:pPr>
        <w:pStyle w:val="ListNumber"/>
        <w:spacing w:after="50"/>
        <w:ind w:left="317" w:hanging="202"/>
      </w:pPr>
      <w:r>
        <w:rPr>
          <w:rFonts w:ascii="Z003" w:hAnsi="Z003" w:eastAsia="Z003" w:cs="Z003"/>
          <w:b w:val="0"/>
          <w:i/>
          <w:color w:val="17477A"/>
          <w:sz w:val="24"/>
        </w:rPr>
        <w:t>An agent, collector, or cloud connector forwards the record.</w:t>
      </w:r>
    </w:p>
    <w:p>
      <w:pPr>
        <w:pStyle w:val="ListNumber"/>
        <w:spacing w:after="50"/>
        <w:ind w:left="317" w:hanging="202"/>
      </w:pPr>
      <w:r>
        <w:rPr>
          <w:rFonts w:ascii="Z003" w:hAnsi="Z003" w:eastAsia="Z003" w:cs="Z003"/>
          <w:b w:val="0"/>
          <w:i/>
          <w:color w:val="17477A"/>
          <w:sz w:val="24"/>
        </w:rPr>
        <w:t>The SIEM parses the record into fields, such as time, user, host, and result.</w:t>
      </w:r>
    </w:p>
    <w:p>
      <w:pPr>
        <w:pStyle w:val="ListNumber"/>
        <w:spacing w:after="50"/>
        <w:ind w:left="317" w:hanging="202"/>
      </w:pPr>
      <w:r>
        <w:rPr>
          <w:rFonts w:ascii="Z003" w:hAnsi="Z003" w:eastAsia="Z003" w:cs="Z003"/>
          <w:b w:val="0"/>
          <w:i/>
          <w:color w:val="17477A"/>
          <w:sz w:val="24"/>
        </w:rPr>
        <w:t>A rule checks for a condition, or an analyst searches for a pattern.</w:t>
      </w:r>
    </w:p>
    <w:p>
      <w:pPr>
        <w:pStyle w:val="ListNumber"/>
        <w:spacing w:after="50"/>
        <w:ind w:left="317" w:hanging="202"/>
      </w:pPr>
      <w:r>
        <w:rPr>
          <w:rFonts w:ascii="Z003" w:hAnsi="Z003" w:eastAsia="Z003" w:cs="Z003"/>
          <w:b w:val="0"/>
          <w:i/>
          <w:color w:val="17477A"/>
          <w:sz w:val="24"/>
        </w:rPr>
        <w:t>An alert may be created. Several related alerts may be grouped into a case.</w:t>
      </w:r>
    </w:p>
    <w:p>
      <w:pPr>
        <w:pStyle w:val="ListNumber"/>
        <w:spacing w:after="50"/>
        <w:ind w:left="317" w:hanging="202"/>
      </w:pPr>
      <w:r>
        <w:rPr>
          <w:rFonts w:ascii="Z003" w:hAnsi="Z003" w:eastAsia="Z003" w:cs="Z003"/>
          <w:b w:val="0"/>
          <w:i/>
          <w:color w:val="17477A"/>
          <w:sz w:val="24"/>
        </w:rPr>
        <w:t>The analyst validates the context, records a decision, and escalates when required.</w:t>
      </w:r>
    </w:p>
    <w:tbl>
      <w:tblPr>
        <w:tblW w:type="auto" w:w="0"/>
        <w:jc w:val="center"/>
        <w:tblLayout w:type="autofit"/>
        <w:tblLook w:firstColumn="1" w:firstRow="1" w:lastColumn="0" w:lastRow="0" w:noHBand="0" w:noVBand="1" w:val="04A0"/>
      </w:tblPr>
      <w:tblGrid>
        <w:gridCol w:w="9576"/>
      </w:tblGrid>
      <w:tr>
        <w:tc>
          <w:tcPr>
            <w:tcW w:type="dxa" w:w="9576"/>
            <w:shd w:fill="FFF3CF"/>
            <w:tcBorders>
              <w:top w:val="nil"/>
              <w:left w:val="single" w:sz="18" w:color="C28827"/>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DO NOT SKIP THE MIDDLE  </w:t>
            </w:r>
            <w:r>
              <w:rPr>
                <w:rFonts w:ascii="Comic Neue" w:hAnsi="Comic Neue" w:eastAsia="Comic Neue" w:cs="Comic Neue"/>
                <w:b w:val="0"/>
                <w:i/>
                <w:color w:val="17477A"/>
                <w:sz w:val="18"/>
              </w:rPr>
              <w:t>If the collection time, timezone, host name, or user identity is wrong, a timeline may be misleading. Check the data before trusting a pattern.</w:t>
            </w:r>
          </w:p>
        </w:tc>
      </w:tr>
    </w:tbl>
    <w:p>
      <w:pPr>
        <w:spacing w:after="20" w:line="144" w:lineRule="auto"/>
      </w:pPr>
    </w:p>
    <w:p>
      <w:pPr>
        <w:pStyle w:val="Heading1"/>
        <w:keepNext/>
      </w:pPr>
      <w:r>
        <w:rPr>
          <w:rFonts w:ascii="Z003" w:hAnsi="Z003" w:eastAsia="Z003" w:cs="Z003"/>
          <w:b/>
          <w:i w:val="0"/>
          <w:color w:val="17477A"/>
          <w:sz w:val="40"/>
        </w:rPr>
        <w:t>3. Log fields you should recognise</w:t>
      </w:r>
    </w:p>
    <w:tbl>
      <w:tblPr>
        <w:tblW w:type="auto" w:w="0"/>
        <w:jc w:val="center"/>
        <w:tblLayout w:type="autofit"/>
        <w:tblLook w:firstColumn="1" w:firstRow="1" w:lastColumn="0" w:lastRow="0" w:noHBand="0" w:noVBand="1" w:val="04A0"/>
      </w:tblPr>
      <w:tblGrid>
        <w:gridCol w:w="2376"/>
        <w:gridCol w:w="6912"/>
      </w:tblGrid>
      <w:tr>
        <w:trPr>
          <w:tblHeader w:val="true"/>
        </w:trPr>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Field</w:t>
            </w:r>
          </w:p>
        </w:tc>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Ask this question</w:t>
            </w:r>
          </w:p>
        </w:tc>
      </w:tr>
      <w:tr>
        <w:tc>
          <w:tcPr>
            <w:tcW w:type="dxa" w:w="237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timestamp</w:t>
            </w:r>
          </w:p>
        </w:tc>
        <w:tc>
          <w:tcPr>
            <w:tcW w:type="dxa" w:w="691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When did it happen? Is the timezone UTC or local?</w:t>
            </w:r>
          </w:p>
        </w:tc>
      </w:tr>
      <w:tr>
        <w:tc>
          <w:tcPr>
            <w:tcW w:type="dxa" w:w="237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host / device</w:t>
            </w:r>
          </w:p>
        </w:tc>
        <w:tc>
          <w:tcPr>
            <w:tcW w:type="dxa" w:w="691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Which computer or service is involved?</w:t>
            </w:r>
          </w:p>
        </w:tc>
      </w:tr>
      <w:tr>
        <w:tc>
          <w:tcPr>
            <w:tcW w:type="dxa" w:w="237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user / account</w:t>
            </w:r>
          </w:p>
        </w:tc>
        <w:tc>
          <w:tcPr>
            <w:tcW w:type="dxa" w:w="691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Which identity was used? Is this account expected here?</w:t>
            </w:r>
          </w:p>
        </w:tc>
      </w:tr>
      <w:tr>
        <w:tc>
          <w:tcPr>
            <w:tcW w:type="dxa" w:w="237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event type / ID</w:t>
            </w:r>
          </w:p>
        </w:tc>
        <w:tc>
          <w:tcPr>
            <w:tcW w:type="dxa" w:w="691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What kind of action does this provider say happened?</w:t>
            </w:r>
          </w:p>
        </w:tc>
      </w:tr>
      <w:tr>
        <w:tc>
          <w:tcPr>
            <w:tcW w:type="dxa" w:w="237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process / application</w:t>
            </w:r>
          </w:p>
        </w:tc>
        <w:tc>
          <w:tcPr>
            <w:tcW w:type="dxa" w:w="691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Which program or service produced the event?</w:t>
            </w:r>
          </w:p>
        </w:tc>
      </w:tr>
      <w:tr>
        <w:tc>
          <w:tcPr>
            <w:tcW w:type="dxa" w:w="237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source / destination</w:t>
            </w:r>
          </w:p>
        </w:tc>
        <w:tc>
          <w:tcPr>
            <w:tcW w:type="dxa" w:w="691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Which endpoints are involved, and is the data trustworthy?</w:t>
            </w:r>
          </w:p>
        </w:tc>
      </w:tr>
      <w:tr>
        <w:tc>
          <w:tcPr>
            <w:tcW w:type="dxa" w:w="237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result / status</w:t>
            </w:r>
          </w:p>
        </w:tc>
        <w:tc>
          <w:tcPr>
            <w:tcW w:type="dxa" w:w="691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Was the action successful, failed, denied, or unknown?</w:t>
            </w:r>
          </w:p>
        </w:tc>
      </w:tr>
      <w:tr>
        <w:tc>
          <w:tcPr>
            <w:tcW w:type="dxa" w:w="237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rule / severity</w:t>
            </w:r>
          </w:p>
        </w:tc>
        <w:tc>
          <w:tcPr>
            <w:tcW w:type="dxa" w:w="691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Which condition triggered? Severity helps prioritise; it does not prove impact.</w:t>
            </w:r>
          </w:p>
        </w:tc>
      </w:tr>
    </w:tbl>
    <w:p/>
    <w:p>
      <w:pPr>
        <w:pStyle w:val="Heading1"/>
        <w:keepNext/>
      </w:pPr>
      <w:r>
        <w:rPr>
          <w:rFonts w:ascii="Z003" w:hAnsi="Z003" w:eastAsia="Z003" w:cs="Z003"/>
          <w:b/>
          <w:i w:val="0"/>
          <w:color w:val="17477A"/>
          <w:sz w:val="40"/>
        </w:rPr>
        <w:t>4. Read a fictional event record</w:t>
      </w:r>
    </w:p>
    <w:tbl>
      <w:tblPr>
        <w:tblW w:type="auto" w:w="0"/>
        <w:jc w:val="center"/>
        <w:tblLayout w:type="autofit"/>
        <w:tblLook w:firstColumn="1" w:firstRow="1" w:lastColumn="0" w:lastRow="0" w:noHBand="0" w:noVBand="1" w:val="04A0"/>
      </w:tblPr>
      <w:tblGrid>
        <w:gridCol w:w="9576"/>
      </w:tblGrid>
      <w:tr>
        <w:tc>
          <w:tcPr>
            <w:tcW w:type="dxa" w:w="9576"/>
            <w:shd w:fill="EAF3FC"/>
            <w:tcBorders>
              <w:top w:val="nil"/>
              <w:left w:val="single" w:sz="18" w:color="2D6FA2"/>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SYNTHETIC RECORD  </w:t>
            </w:r>
            <w:r>
              <w:rPr>
                <w:rFonts w:ascii="Comic Neue" w:hAnsi="Comic Neue" w:eastAsia="Comic Neue" w:cs="Comic Neue"/>
                <w:b w:val="0"/>
                <w:i/>
                <w:color w:val="17477A"/>
                <w:sz w:val="18"/>
              </w:rPr>
              <w:t>time=2026-10-01 08:14 UTC | host=LAB-PC-02 | user=student.demo | event=login | result=failed | source=192.0.2.45</w:t>
            </w:r>
          </w:p>
        </w:tc>
      </w:tr>
    </w:tbl>
    <w:p>
      <w:pPr>
        <w:spacing w:after="20" w:line="144" w:lineRule="auto"/>
      </w:pPr>
    </w:p>
    <w:p>
      <w:r>
        <w:rPr>
          <w:rFonts w:ascii="Z003" w:hAnsi="Z003" w:eastAsia="Z003" w:cs="Z003"/>
          <w:b w:val="0"/>
          <w:i/>
          <w:color w:val="17477A"/>
          <w:sz w:val="24"/>
        </w:rPr>
        <w:t>What can we say? The record reports a failed login for a fictional practice account at a given time on a named lab device. What can we not say yet? We cannot prove that the account was compromised, that the source address identifies a person, or that the log source is complete.</w:t>
      </w:r>
    </w:p>
    <w:p>
      <w:pPr>
        <w:pStyle w:val="Heading1"/>
        <w:keepNext/>
      </w:pPr>
      <w:r>
        <w:rPr>
          <w:rFonts w:ascii="Z003" w:hAnsi="Z003" w:eastAsia="Z003" w:cs="Z003"/>
          <w:b/>
          <w:i w:val="0"/>
          <w:color w:val="17477A"/>
          <w:sz w:val="40"/>
        </w:rPr>
        <w:t>5. Beginner triage checklist</w:t>
      </w:r>
    </w:p>
    <w:p>
      <w:pPr>
        <w:keepLines/>
        <w:spacing w:before="20" w:after="20"/>
        <w:jc w:val="center"/>
      </w:pPr>
      <w:r>
        <w:drawing>
          <wp:inline xmlns:a="http://schemas.openxmlformats.org/drawingml/2006/main" xmlns:pic="http://schemas.openxmlformats.org/drawingml/2006/picture">
            <wp:extent cx="5715000" cy="2063750"/>
            <wp:docPr id="2" name="Picture 2" descr="A repeatable alert-triage sequence"/>
            <wp:cNvGraphicFramePr>
              <a:graphicFrameLocks noChangeAspect="1"/>
            </wp:cNvGraphicFramePr>
            <a:graphic>
              <a:graphicData uri="http://schemas.openxmlformats.org/drawingml/2006/picture">
                <pic:pic>
                  <pic:nvPicPr>
                    <pic:cNvPr id="0" name="soc-triage-flow.png"/>
                    <pic:cNvPicPr/>
                  </pic:nvPicPr>
                  <pic:blipFill>
                    <a:blip r:embed="rId12"/>
                    <a:stretch>
                      <a:fillRect/>
                    </a:stretch>
                  </pic:blipFill>
                  <pic:spPr>
                    <a:xfrm>
                      <a:off x="0" y="0"/>
                      <a:ext cx="5715000" cy="2063750"/>
                    </a:xfrm>
                    <a:prstGeom prst="rect"/>
                  </pic:spPr>
                </pic:pic>
              </a:graphicData>
            </a:graphic>
          </wp:inline>
        </w:drawing>
      </w:r>
    </w:p>
    <w:p>
      <w:pPr>
        <w:keepLines/>
        <w:spacing w:before="0" w:after="80"/>
        <w:jc w:val="center"/>
      </w:pPr>
      <w:r>
        <w:rPr>
          <w:rFonts w:ascii="Z003" w:hAnsi="Z003" w:cs="Z003" w:eastAsia="Z003"/>
          <w:b w:val="0"/>
          <w:i/>
          <w:color w:val="267C75"/>
          <w:sz w:val="21"/>
        </w:rPr>
        <w:t>FIGURE 02 • A repeatable alert-triage sequence</w:t>
      </w:r>
    </w:p>
    <w:p>
      <w:pPr>
        <w:pStyle w:val="ListBullet"/>
        <w:spacing w:after="50" w:line="245" w:lineRule="auto"/>
        <w:ind w:left="317" w:hanging="202"/>
      </w:pPr>
      <w:r>
        <w:rPr>
          <w:rFonts w:ascii="Z003" w:hAnsi="Z003" w:eastAsia="Z003" w:cs="Z003"/>
          <w:b w:val="0"/>
          <w:i/>
          <w:color w:val="17477A"/>
          <w:sz w:val="24"/>
        </w:rPr>
        <w:t>Read the alert title and its rule logic. What exactly did it detect?</w:t>
      </w:r>
    </w:p>
    <w:p>
      <w:pPr>
        <w:pStyle w:val="ListBullet"/>
        <w:spacing w:after="50" w:line="245" w:lineRule="auto"/>
        <w:ind w:left="317" w:hanging="202"/>
      </w:pPr>
      <w:r>
        <w:rPr>
          <w:rFonts w:ascii="Z003" w:hAnsi="Z003" w:eastAsia="Z003" w:cs="Z003"/>
          <w:b w:val="0"/>
          <w:i/>
          <w:color w:val="17477A"/>
          <w:sz w:val="24"/>
        </w:rPr>
        <w:t>Open the source event. Check its timestamp, timezone, host, identity, and outcome.</w:t>
      </w:r>
    </w:p>
    <w:p>
      <w:pPr>
        <w:pStyle w:val="ListBullet"/>
        <w:spacing w:after="50" w:line="245" w:lineRule="auto"/>
        <w:ind w:left="317" w:hanging="202"/>
      </w:pPr>
      <w:r>
        <w:rPr>
          <w:rFonts w:ascii="Z003" w:hAnsi="Z003" w:eastAsia="Z003" w:cs="Z003"/>
          <w:b w:val="0"/>
          <w:i/>
          <w:color w:val="17477A"/>
          <w:sz w:val="24"/>
        </w:rPr>
        <w:t>Look at related events before and after the alert, if available.</w:t>
      </w:r>
    </w:p>
    <w:p>
      <w:pPr>
        <w:pStyle w:val="ListBullet"/>
        <w:spacing w:after="50" w:line="245" w:lineRule="auto"/>
        <w:ind w:left="317" w:hanging="202"/>
      </w:pPr>
      <w:r>
        <w:rPr>
          <w:rFonts w:ascii="Z003" w:hAnsi="Z003" w:eastAsia="Z003" w:cs="Z003"/>
          <w:b w:val="0"/>
          <w:i/>
          <w:color w:val="17477A"/>
          <w:sz w:val="24"/>
        </w:rPr>
        <w:t>Ask whether normal administration, a scheduled job, or a user mistake could explain the event.</w:t>
      </w:r>
    </w:p>
    <w:p>
      <w:pPr>
        <w:pStyle w:val="ListBullet"/>
        <w:spacing w:after="50" w:line="245" w:lineRule="auto"/>
        <w:ind w:left="317" w:hanging="202"/>
      </w:pPr>
      <w:r>
        <w:rPr>
          <w:rFonts w:ascii="Z003" w:hAnsi="Z003" w:eastAsia="Z003" w:cs="Z003"/>
          <w:b w:val="0"/>
          <w:i/>
          <w:color w:val="17477A"/>
          <w:sz w:val="24"/>
        </w:rPr>
        <w:t>Write the facts separately from assumptions. Include missing data.</w:t>
      </w:r>
    </w:p>
    <w:p>
      <w:pPr>
        <w:pStyle w:val="ListBullet"/>
        <w:spacing w:after="50" w:line="245" w:lineRule="auto"/>
        <w:ind w:left="317" w:hanging="202"/>
      </w:pPr>
      <w:r>
        <w:rPr>
          <w:rFonts w:ascii="Z003" w:hAnsi="Z003" w:eastAsia="Z003" w:cs="Z003"/>
          <w:b w:val="0"/>
          <w:i/>
          <w:color w:val="17477A"/>
          <w:sz w:val="24"/>
        </w:rPr>
        <w:t>Follow the exercise or organisation’s escalation process; do not improvise risky response actions.</w:t>
      </w:r>
    </w:p>
    <w:p>
      <w:pPr>
        <w:pStyle w:val="Heading1"/>
        <w:keepNext/>
      </w:pPr>
      <w:r>
        <w:rPr>
          <w:rFonts w:ascii="Z003" w:hAnsi="Z003" w:eastAsia="Z003" w:cs="Z003"/>
          <w:b/>
          <w:i w:val="0"/>
          <w:color w:val="17477A"/>
          <w:sz w:val="40"/>
        </w:rPr>
        <w:t>6. Beginner practice: what would you say?</w:t>
      </w:r>
    </w:p>
    <w:p>
      <w:r>
        <w:rPr>
          <w:rFonts w:ascii="Z003" w:hAnsi="Z003" w:eastAsia="Z003" w:cs="Z003"/>
          <w:b w:val="0"/>
          <w:i/>
          <w:color w:val="17477A"/>
          <w:sz w:val="24"/>
        </w:rPr>
        <w:t>A training dashboard shows two failed sign-ins for an account and no successful sign-in in the sample. The account owner says they mistyped their password. The dataset contains only those two rows.</w:t>
      </w:r>
    </w:p>
    <w:p>
      <w:pPr>
        <w:pStyle w:val="ListNumber"/>
        <w:spacing w:after="50"/>
        <w:ind w:left="317" w:hanging="202"/>
      </w:pPr>
      <w:r>
        <w:rPr>
          <w:rFonts w:ascii="Z003" w:hAnsi="Z003" w:eastAsia="Z003" w:cs="Z003"/>
          <w:b w:val="0"/>
          <w:i/>
          <w:color w:val="17477A"/>
          <w:sz w:val="24"/>
        </w:rPr>
        <w:t>Which facts are directly supported by the sample?</w:t>
      </w:r>
    </w:p>
    <w:p>
      <w:pPr>
        <w:pStyle w:val="ListNumber"/>
        <w:spacing w:after="50"/>
        <w:ind w:left="317" w:hanging="202"/>
      </w:pPr>
      <w:r>
        <w:rPr>
          <w:rFonts w:ascii="Z003" w:hAnsi="Z003" w:eastAsia="Z003" w:cs="Z003"/>
          <w:b w:val="0"/>
          <w:i/>
          <w:color w:val="17477A"/>
          <w:sz w:val="24"/>
        </w:rPr>
        <w:t>What is one reasonable benign explanation?</w:t>
      </w:r>
    </w:p>
    <w:p>
      <w:pPr>
        <w:pStyle w:val="ListNumber"/>
        <w:spacing w:after="50"/>
        <w:ind w:left="317" w:hanging="202"/>
      </w:pPr>
      <w:r>
        <w:rPr>
          <w:rFonts w:ascii="Z003" w:hAnsi="Z003" w:eastAsia="Z003" w:cs="Z003"/>
          <w:b w:val="0"/>
          <w:i/>
          <w:color w:val="17477A"/>
          <w:sz w:val="24"/>
        </w:rPr>
        <w:t>What additional record would help you understand the activity?</w:t>
      </w:r>
    </w:p>
    <w:p>
      <w:pPr>
        <w:pStyle w:val="ListNumber"/>
        <w:spacing w:after="50"/>
        <w:ind w:left="317" w:hanging="202"/>
      </w:pPr>
      <w:r>
        <w:rPr>
          <w:rFonts w:ascii="Z003" w:hAnsi="Z003" w:eastAsia="Z003" w:cs="Z003"/>
          <w:b w:val="0"/>
          <w:i/>
          <w:color w:val="17477A"/>
          <w:sz w:val="24"/>
        </w:rPr>
        <w:t>Write one careful sentence for your case notes.</w:t>
      </w:r>
    </w:p>
    <w:tbl>
      <w:tblPr>
        <w:tblW w:type="auto" w:w="0"/>
        <w:jc w:val="center"/>
        <w:tblLayout w:type="autofit"/>
        <w:tblLook w:firstColumn="1" w:firstRow="1" w:lastColumn="0" w:lastRow="0" w:noHBand="0" w:noVBand="1" w:val="04A0"/>
      </w:tblPr>
      <w:tblGrid>
        <w:gridCol w:w="9576"/>
      </w:tblGrid>
      <w:tr>
        <w:tc>
          <w:tcPr>
            <w:tcW w:type="dxa" w:w="9576"/>
            <w:shd w:fill="E5F5EC"/>
            <w:tcBorders>
              <w:top w:val="nil"/>
              <w:left w:val="single" w:sz="18" w:color="237C6D"/>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GOOD ANSWER SHAPE  </w:t>
            </w:r>
            <w:r>
              <w:rPr>
                <w:rFonts w:ascii="Comic Neue" w:hAnsi="Comic Neue" w:eastAsia="Comic Neue" w:cs="Comic Neue"/>
                <w:b w:val="0"/>
                <w:i/>
                <w:color w:val="17477A"/>
                <w:sz w:val="18"/>
              </w:rPr>
              <w:t>“The sample contains two failed sign-ins for account X at times A and B. The cause is not established. I would review the surrounding authentication events and confirm the timestamps and expected activity.”</w:t>
            </w:r>
          </w:p>
        </w:tc>
      </w:tr>
    </w:tbl>
    <w:p>
      <w:pPr>
        <w:spacing w:after="20" w:line="144" w:lineRule="auto"/>
      </w:pPr>
    </w:p>
    <w:p>
      <w:pPr>
        <w:pageBreakBefore/>
        <w:spacing w:before="1760" w:after="280"/>
        <w:jc w:val="center"/>
      </w:pPr>
      <w:r>
        <w:rPr>
          <w:rFonts w:ascii="Z003" w:hAnsi="Z003" w:eastAsia="Z003" w:cs="Z003"/>
          <w:b/>
          <w:i/>
          <w:color w:val="17477A"/>
          <w:sz w:val="24"/>
        </w:rPr>
        <w:t>LEVEL 02</w:t>
      </w:r>
    </w:p>
    <w:p>
      <w:pPr>
        <w:spacing w:after="240"/>
        <w:jc w:val="center"/>
      </w:pPr>
      <w:r>
        <w:rPr>
          <w:rFonts w:ascii="Z003" w:hAnsi="Z003" w:eastAsia="Z003" w:cs="Z003"/>
          <w:b/>
          <w:i/>
          <w:color w:val="17477A"/>
          <w:sz w:val="24"/>
        </w:rPr>
        <w:t>Intermediate investigations</w:t>
      </w:r>
    </w:p>
    <w:p>
      <w:pPr>
        <w:ind w:left="576" w:right="576"/>
        <w:jc w:val="center"/>
      </w:pPr>
      <w:r>
        <w:rPr>
          <w:rFonts w:ascii="Z003" w:hAnsi="Z003" w:eastAsia="Z003" w:cs="Z003"/>
          <w:b w:val="0"/>
          <w:i/>
          <w:color w:val="17477A"/>
          <w:sz w:val="24"/>
        </w:rPr>
        <w:t>Connect records, build a timeline, test a hypothesis, and explain why a detection fired.</w:t>
      </w:r>
    </w:p>
    <w:tbl>
      <w:tblPr>
        <w:tblW w:type="auto" w:w="0"/>
        <w:jc w:val="center"/>
        <w:tblLayout w:type="autofit"/>
        <w:tblLook w:firstColumn="1" w:firstRow="1" w:lastColumn="0" w:lastRow="0" w:noHBand="0" w:noVBand="1" w:val="04A0"/>
      </w:tblPr>
      <w:tblGrid>
        <w:gridCol w:w="9576"/>
      </w:tblGrid>
      <w:tr>
        <w:tc>
          <w:tcPr>
            <w:tcW w:type="dxa" w:w="9576"/>
            <w:shd w:fill="F0ECFA"/>
            <w:tcBorders>
              <w:top w:val="nil"/>
              <w:left w:val="single" w:sz="18" w:color="6B5E9D"/>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YOUR GOAL  </w:t>
            </w:r>
            <w:r>
              <w:rPr>
                <w:rFonts w:ascii="Comic Neue" w:hAnsi="Comic Neue" w:eastAsia="Comic Neue" w:cs="Comic Neue"/>
                <w:b w:val="0"/>
                <w:i/>
                <w:color w:val="17477A"/>
                <w:sz w:val="18"/>
              </w:rPr>
              <w:t>Finish this level when you can explain the ideas in your own words and complete its practice without copying the answer.</w:t>
            </w:r>
          </w:p>
        </w:tc>
      </w:tr>
    </w:tbl>
    <w:p>
      <w:pPr>
        <w:spacing w:after="20" w:line="144" w:lineRule="auto"/>
      </w:pPr>
    </w:p>
    <w:p>
      <w:pPr>
        <w:pStyle w:val="Heading1"/>
        <w:keepNext/>
      </w:pPr>
      <w:r>
        <w:rPr>
          <w:rFonts w:ascii="Z003" w:hAnsi="Z003" w:eastAsia="Z003" w:cs="Z003"/>
          <w:b/>
          <w:i w:val="0"/>
          <w:color w:val="17477A"/>
          <w:sz w:val="40"/>
        </w:rPr>
        <w:t>7. A practical triage workflow</w:t>
      </w:r>
    </w:p>
    <w:tbl>
      <w:tblPr>
        <w:tblW w:type="auto" w:w="0"/>
        <w:jc w:val="center"/>
        <w:tblLayout w:type="autofit"/>
        <w:tblLook w:firstColumn="1" w:firstRow="1" w:lastColumn="0" w:lastRow="0" w:noHBand="0" w:noVBand="1" w:val="04A0"/>
      </w:tblPr>
      <w:tblGrid>
        <w:gridCol w:w="1440"/>
        <w:gridCol w:w="4896"/>
        <w:gridCol w:w="2952"/>
      </w:tblGrid>
      <w:tr>
        <w:trPr>
          <w:tblHeader w:val="true"/>
        </w:trPr>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Step</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What you do</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Output to save</w:t>
            </w:r>
          </w:p>
        </w:tc>
      </w:tr>
      <w:tr>
        <w:tc>
          <w:tcPr>
            <w:tcW w:type="dxa" w:w="144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1. Scope</w:t>
            </w:r>
          </w:p>
        </w:tc>
        <w:tc>
          <w:tcPr>
            <w:tcW w:type="dxa" w:w="489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Confirm the alert, affected asset, time range, and known constraints.</w:t>
            </w:r>
          </w:p>
        </w:tc>
        <w:tc>
          <w:tcPr>
            <w:tcW w:type="dxa" w:w="295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Case ID + question being investigated.</w:t>
            </w:r>
          </w:p>
        </w:tc>
      </w:tr>
      <w:tr>
        <w:tc>
          <w:tcPr>
            <w:tcW w:type="dxa" w:w="144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2. Validate</w:t>
            </w:r>
          </w:p>
        </w:tc>
        <w:tc>
          <w:tcPr>
            <w:tcW w:type="dxa" w:w="489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Check raw events, field meaning, collection health, and time settings.</w:t>
            </w:r>
          </w:p>
        </w:tc>
        <w:tc>
          <w:tcPr>
            <w:tcW w:type="dxa" w:w="295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Evidence links / record IDs.</w:t>
            </w:r>
          </w:p>
        </w:tc>
      </w:tr>
      <w:tr>
        <w:tc>
          <w:tcPr>
            <w:tcW w:type="dxa" w:w="144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3. Build timeline</w:t>
            </w:r>
          </w:p>
        </w:tc>
        <w:tc>
          <w:tcPr>
            <w:tcW w:type="dxa" w:w="489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Order relevant events and preserve the original timestamps.</w:t>
            </w:r>
          </w:p>
        </w:tc>
        <w:tc>
          <w:tcPr>
            <w:tcW w:type="dxa" w:w="295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Timeline with timezone noted.</w:t>
            </w:r>
          </w:p>
        </w:tc>
      </w:tr>
      <w:tr>
        <w:tc>
          <w:tcPr>
            <w:tcW w:type="dxa" w:w="144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4. Compare</w:t>
            </w:r>
          </w:p>
        </w:tc>
        <w:tc>
          <w:tcPr>
            <w:tcW w:type="dxa" w:w="489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Compare activity to baseline, peer accounts, or similar hosts.</w:t>
            </w:r>
          </w:p>
        </w:tc>
        <w:tc>
          <w:tcPr>
            <w:tcW w:type="dxa" w:w="295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Normal vs unusual observations.</w:t>
            </w:r>
          </w:p>
        </w:tc>
      </w:tr>
      <w:tr>
        <w:tc>
          <w:tcPr>
            <w:tcW w:type="dxa" w:w="144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5. Test explanations</w:t>
            </w:r>
          </w:p>
        </w:tc>
        <w:tc>
          <w:tcPr>
            <w:tcW w:type="dxa" w:w="489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Write at least one benign and one concerning explanation.</w:t>
            </w:r>
          </w:p>
        </w:tc>
        <w:tc>
          <w:tcPr>
            <w:tcW w:type="dxa" w:w="295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Evidence for and against each.</w:t>
            </w:r>
          </w:p>
        </w:tc>
      </w:tr>
      <w:tr>
        <w:tc>
          <w:tcPr>
            <w:tcW w:type="dxa" w:w="144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6. Decide / escalate</w:t>
            </w:r>
          </w:p>
        </w:tc>
        <w:tc>
          <w:tcPr>
            <w:tcW w:type="dxa" w:w="489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Use the severity guide and response procedure.</w:t>
            </w:r>
          </w:p>
        </w:tc>
        <w:tc>
          <w:tcPr>
            <w:tcW w:type="dxa" w:w="295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Disposition, rationale, and next owner.</w:t>
            </w:r>
          </w:p>
        </w:tc>
      </w:tr>
    </w:tbl>
    <w:p/>
    <w:p>
      <w:pPr>
        <w:pStyle w:val="Heading1"/>
        <w:keepNext/>
      </w:pPr>
      <w:r>
        <w:rPr>
          <w:rFonts w:ascii="Z003" w:hAnsi="Z003" w:eastAsia="Z003" w:cs="Z003"/>
          <w:b/>
          <w:i w:val="0"/>
          <w:color w:val="17477A"/>
          <w:sz w:val="40"/>
        </w:rPr>
        <w:t>8. Worked example: repeated sign-in failures</w:t>
      </w:r>
    </w:p>
    <w:p>
      <w:r>
        <w:rPr>
          <w:rFonts w:ascii="Z003" w:hAnsi="Z003" w:eastAsia="Z003" w:cs="Z003"/>
          <w:b w:val="0"/>
          <w:i/>
          <w:color w:val="17477A"/>
          <w:sz w:val="24"/>
        </w:rPr>
        <w:t>Scenario: a synthetic authentication dataset contains multiple failed sign-ins for a fictional account, followed later by one successful sign-in. This can happen when a user forgets a password. It can also be a clue that someone guessed credentials. The pattern tells you what to investigate; it does not prove which explanation is true.</w:t>
      </w:r>
    </w:p>
    <w:tbl>
      <w:tblPr>
        <w:tblW w:type="auto" w:w="0"/>
        <w:jc w:val="center"/>
        <w:tblLayout w:type="autofit"/>
        <w:tblLook w:firstColumn="1" w:firstRow="1" w:lastColumn="0" w:lastRow="0" w:noHBand="0" w:noVBand="1" w:val="04A0"/>
      </w:tblPr>
      <w:tblGrid>
        <w:gridCol w:w="1584"/>
        <w:gridCol w:w="2088"/>
        <w:gridCol w:w="1512"/>
        <w:gridCol w:w="4104"/>
      </w:tblGrid>
      <w:tr>
        <w:trPr>
          <w:tblHeader w:val="true"/>
        </w:trPr>
        <w:tc>
          <w:tcPr>
            <w:tcW w:type="dxa" w:w="2394"/>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Time (UTC)</w:t>
            </w:r>
          </w:p>
        </w:tc>
        <w:tc>
          <w:tcPr>
            <w:tcW w:type="dxa" w:w="2394"/>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Account</w:t>
            </w:r>
          </w:p>
        </w:tc>
        <w:tc>
          <w:tcPr>
            <w:tcW w:type="dxa" w:w="2394"/>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Result</w:t>
            </w:r>
          </w:p>
        </w:tc>
        <w:tc>
          <w:tcPr>
            <w:tcW w:type="dxa" w:w="2394"/>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Training note</w:t>
            </w:r>
          </w:p>
        </w:tc>
      </w:tr>
      <w:tr>
        <w:tc>
          <w:tcPr>
            <w:tcW w:type="dxa" w:w="158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09:01:03</w:t>
            </w:r>
          </w:p>
        </w:tc>
        <w:tc>
          <w:tcPr>
            <w:tcW w:type="dxa" w:w="208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learner.demo</w:t>
            </w:r>
          </w:p>
        </w:tc>
        <w:tc>
          <w:tcPr>
            <w:tcW w:type="dxa" w:w="151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Failed</w:t>
            </w:r>
          </w:p>
        </w:tc>
        <w:tc>
          <w:tcPr>
            <w:tcW w:type="dxa" w:w="410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Fictional sample.</w:t>
            </w:r>
          </w:p>
        </w:tc>
      </w:tr>
      <w:tr>
        <w:tc>
          <w:tcPr>
            <w:tcW w:type="dxa" w:w="158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09:01:18</w:t>
            </w:r>
          </w:p>
        </w:tc>
        <w:tc>
          <w:tcPr>
            <w:tcW w:type="dxa" w:w="208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learner.demo</w:t>
            </w:r>
          </w:p>
        </w:tc>
        <w:tc>
          <w:tcPr>
            <w:tcW w:type="dxa" w:w="151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Failed</w:t>
            </w:r>
          </w:p>
        </w:tc>
        <w:tc>
          <w:tcPr>
            <w:tcW w:type="dxa" w:w="410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Same identity; check source and normal baseline.</w:t>
            </w:r>
          </w:p>
        </w:tc>
      </w:tr>
      <w:tr>
        <w:tc>
          <w:tcPr>
            <w:tcW w:type="dxa" w:w="158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09:01:33</w:t>
            </w:r>
          </w:p>
        </w:tc>
        <w:tc>
          <w:tcPr>
            <w:tcW w:type="dxa" w:w="208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learner.demo</w:t>
            </w:r>
          </w:p>
        </w:tc>
        <w:tc>
          <w:tcPr>
            <w:tcW w:type="dxa" w:w="151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Failed</w:t>
            </w:r>
          </w:p>
        </w:tc>
        <w:tc>
          <w:tcPr>
            <w:tcW w:type="dxa" w:w="410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Three failures alone do not prove an attack.</w:t>
            </w:r>
          </w:p>
        </w:tc>
      </w:tr>
      <w:tr>
        <w:tc>
          <w:tcPr>
            <w:tcW w:type="dxa" w:w="158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09:04:52</w:t>
            </w:r>
          </w:p>
        </w:tc>
        <w:tc>
          <w:tcPr>
            <w:tcW w:type="dxa" w:w="208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learner.demo</w:t>
            </w:r>
          </w:p>
        </w:tc>
        <w:tc>
          <w:tcPr>
            <w:tcW w:type="dxa" w:w="151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Success</w:t>
            </w:r>
          </w:p>
        </w:tc>
        <w:tc>
          <w:tcPr>
            <w:tcW w:type="dxa" w:w="410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Review device, MFA, session, and expected user activity.</w:t>
            </w:r>
          </w:p>
        </w:tc>
      </w:tr>
    </w:tbl>
    <w:p/>
    <w:p>
      <w:pPr>
        <w:pStyle w:val="Heading2"/>
        <w:keepNext/>
      </w:pPr>
      <w:r>
        <w:rPr>
          <w:rFonts w:ascii="Z003" w:hAnsi="Z003" w:eastAsia="Z003" w:cs="Z003"/>
          <w:b/>
          <w:i w:val="0"/>
          <w:color w:val="B45137"/>
          <w:sz w:val="31"/>
        </w:rPr>
        <w:t>Questions to test the story</w:t>
      </w:r>
    </w:p>
    <w:p>
      <w:pPr>
        <w:pStyle w:val="ListBullet"/>
        <w:spacing w:after="50" w:line="245" w:lineRule="auto"/>
        <w:ind w:left="317" w:hanging="202"/>
      </w:pPr>
      <w:r>
        <w:rPr>
          <w:rFonts w:ascii="Z003" w:hAnsi="Z003" w:eastAsia="Z003" w:cs="Z003"/>
          <w:b w:val="0"/>
          <w:i/>
          <w:color w:val="17477A"/>
          <w:sz w:val="24"/>
        </w:rPr>
        <w:t>Did the source device or network change between failures and success?</w:t>
      </w:r>
    </w:p>
    <w:p>
      <w:pPr>
        <w:pStyle w:val="ListBullet"/>
        <w:spacing w:after="50" w:line="245" w:lineRule="auto"/>
        <w:ind w:left="317" w:hanging="202"/>
      </w:pPr>
      <w:r>
        <w:rPr>
          <w:rFonts w:ascii="Z003" w:hAnsi="Z003" w:eastAsia="Z003" w:cs="Z003"/>
          <w:b w:val="0"/>
          <w:i/>
          <w:color w:val="17477A"/>
          <w:sz w:val="24"/>
        </w:rPr>
        <w:t>Was multi-factor authentication completed, challenged, or bypassed according to the logs?</w:t>
      </w:r>
    </w:p>
    <w:p>
      <w:pPr>
        <w:pStyle w:val="ListBullet"/>
        <w:spacing w:after="50" w:line="245" w:lineRule="auto"/>
        <w:ind w:left="317" w:hanging="202"/>
      </w:pPr>
      <w:r>
        <w:rPr>
          <w:rFonts w:ascii="Z003" w:hAnsi="Z003" w:eastAsia="Z003" w:cs="Z003"/>
          <w:b w:val="0"/>
          <w:i/>
          <w:color w:val="17477A"/>
          <w:sz w:val="24"/>
        </w:rPr>
        <w:t>Is the login time normal for this account?</w:t>
      </w:r>
    </w:p>
    <w:p>
      <w:pPr>
        <w:pStyle w:val="ListBullet"/>
        <w:spacing w:after="50" w:line="245" w:lineRule="auto"/>
        <w:ind w:left="317" w:hanging="202"/>
      </w:pPr>
      <w:r>
        <w:rPr>
          <w:rFonts w:ascii="Z003" w:hAnsi="Z003" w:eastAsia="Z003" w:cs="Z003"/>
          <w:b w:val="0"/>
          <w:i/>
          <w:color w:val="17477A"/>
          <w:sz w:val="24"/>
        </w:rPr>
        <w:t>Was there a sensitive action after the successful sign-in?</w:t>
      </w:r>
    </w:p>
    <w:p>
      <w:pPr>
        <w:pStyle w:val="ListBullet"/>
        <w:spacing w:after="50" w:line="245" w:lineRule="auto"/>
        <w:ind w:left="317" w:hanging="202"/>
      </w:pPr>
      <w:r>
        <w:rPr>
          <w:rFonts w:ascii="Z003" w:hAnsi="Z003" w:eastAsia="Z003" w:cs="Z003"/>
          <w:b w:val="0"/>
          <w:i/>
          <w:color w:val="17477A"/>
          <w:sz w:val="24"/>
        </w:rPr>
        <w:t>Are the relevant logs complete, time-aligned, and from trusted sources?</w:t>
      </w:r>
    </w:p>
    <w:tbl>
      <w:tblPr>
        <w:tblW w:type="auto" w:w="0"/>
        <w:jc w:val="center"/>
        <w:tblLayout w:type="autofit"/>
        <w:tblLook w:firstColumn="1" w:firstRow="1" w:lastColumn="0" w:lastRow="0" w:noHBand="0" w:noVBand="1" w:val="04A0"/>
      </w:tblPr>
      <w:tblGrid>
        <w:gridCol w:w="9576"/>
      </w:tblGrid>
      <w:tr>
        <w:tc>
          <w:tcPr>
            <w:tcW w:type="dxa" w:w="9576"/>
            <w:shd w:fill="F0ECFA"/>
            <w:tcBorders>
              <w:top w:val="nil"/>
              <w:left w:val="single" w:sz="18" w:color="6B5E9D"/>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CAREFUL WORDING  </w:t>
            </w:r>
            <w:r>
              <w:rPr>
                <w:rFonts w:ascii="Comic Neue" w:hAnsi="Comic Neue" w:eastAsia="Comic Neue" w:cs="Comic Neue"/>
                <w:b w:val="0"/>
                <w:i/>
                <w:color w:val="17477A"/>
                <w:sz w:val="18"/>
              </w:rPr>
              <w:t>“The sequence is unusual relative to the sample baseline and needs validation.” is stronger analysis than “This is definitely a hacker.”</w:t>
            </w:r>
          </w:p>
        </w:tc>
      </w:tr>
    </w:tbl>
    <w:p>
      <w:pPr>
        <w:spacing w:after="20" w:line="144" w:lineRule="auto"/>
      </w:pPr>
    </w:p>
    <w:p>
      <w:pPr>
        <w:pStyle w:val="Heading1"/>
        <w:keepNext/>
      </w:pPr>
      <w:r>
        <w:rPr>
          <w:rFonts w:ascii="Z003" w:hAnsi="Z003" w:eastAsia="Z003" w:cs="Z003"/>
          <w:b/>
          <w:i w:val="0"/>
          <w:color w:val="17477A"/>
          <w:sz w:val="40"/>
        </w:rPr>
        <w:t>9. Indicators, behaviours, and context</w:t>
      </w:r>
    </w:p>
    <w:tbl>
      <w:tblPr>
        <w:tblW w:type="auto" w:w="0"/>
        <w:jc w:val="center"/>
        <w:tblLayout w:type="autofit"/>
        <w:tblLook w:firstColumn="1" w:firstRow="1" w:lastColumn="0" w:lastRow="0" w:noHBand="0" w:noVBand="1" w:val="04A0"/>
      </w:tblPr>
      <w:tblGrid>
        <w:gridCol w:w="2304"/>
        <w:gridCol w:w="3816"/>
        <w:gridCol w:w="3168"/>
      </w:tblGrid>
      <w:tr>
        <w:trPr>
          <w:tblHeader w:val="true"/>
        </w:trPr>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Clue type</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Meaning</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Caution</w:t>
            </w:r>
          </w:p>
        </w:tc>
      </w:tr>
      <w:tr>
        <w:tc>
          <w:tcPr>
            <w:tcW w:type="dxa" w:w="230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Indicator of compromise (IOC)</w:t>
            </w:r>
          </w:p>
        </w:tc>
        <w:tc>
          <w:tcPr>
            <w:tcW w:type="dxa" w:w="381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clue such as a file hash, domain, or IP address linked to a case.</w:t>
            </w:r>
          </w:p>
        </w:tc>
        <w:tc>
          <w:tcPr>
            <w:tcW w:type="dxa" w:w="316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Indicators can be old, shared, mislabelled, or absent.</w:t>
            </w:r>
          </w:p>
        </w:tc>
      </w:tr>
      <w:tr>
        <w:tc>
          <w:tcPr>
            <w:tcW w:type="dxa" w:w="230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Behaviour / technique</w:t>
            </w:r>
          </w:p>
        </w:tc>
        <w:tc>
          <w:tcPr>
            <w:tcW w:type="dxa" w:w="381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description of what an actor did, such as phishing or credential access.</w:t>
            </w:r>
          </w:p>
        </w:tc>
        <w:tc>
          <w:tcPr>
            <w:tcW w:type="dxa" w:w="316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The same behaviour may have legitimate explanations.</w:t>
            </w:r>
          </w:p>
        </w:tc>
      </w:tr>
      <w:tr>
        <w:tc>
          <w:tcPr>
            <w:tcW w:type="dxa" w:w="230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Context</w:t>
            </w:r>
          </w:p>
        </w:tc>
        <w:tc>
          <w:tcPr>
            <w:tcW w:type="dxa" w:w="381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Time, user role, asset criticality, baseline, change ticket, and related events.</w:t>
            </w:r>
          </w:p>
        </w:tc>
        <w:tc>
          <w:tcPr>
            <w:tcW w:type="dxa" w:w="316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Context can be incomplete; state the gaps.</w:t>
            </w:r>
          </w:p>
        </w:tc>
      </w:tr>
    </w:tbl>
    <w:p/>
    <w:p>
      <w:pPr>
        <w:pStyle w:val="Heading1"/>
        <w:keepNext/>
      </w:pPr>
      <w:r>
        <w:rPr>
          <w:rFonts w:ascii="Z003" w:hAnsi="Z003" w:eastAsia="Z003" w:cs="Z003"/>
          <w:b/>
          <w:i w:val="0"/>
          <w:color w:val="17477A"/>
          <w:sz w:val="40"/>
        </w:rPr>
        <w:t>10. Detection rules in plain English</w:t>
      </w:r>
    </w:p>
    <w:p>
      <w:r>
        <w:rPr>
          <w:rFonts w:ascii="Z003" w:hAnsi="Z003" w:eastAsia="Z003" w:cs="Z003"/>
          <w:b w:val="0"/>
          <w:i/>
          <w:color w:val="17477A"/>
          <w:sz w:val="24"/>
        </w:rPr>
        <w:t>A detection rule is a testable statement about events. A good rule states which data source it needs, which fields it checks, what time window it uses, what known benign cases may trigger it, and what an analyst should do next.</w:t>
      </w:r>
    </w:p>
    <w:tbl>
      <w:tblPr>
        <w:tblW w:type="auto" w:w="0"/>
        <w:jc w:val="center"/>
        <w:tblLayout w:type="autofit"/>
        <w:tblLook w:firstColumn="1" w:firstRow="1" w:lastColumn="0" w:lastRow="0" w:noHBand="0" w:noVBand="1" w:val="04A0"/>
      </w:tblPr>
      <w:tblGrid>
        <w:gridCol w:w="9576"/>
      </w:tblGrid>
      <w:tr>
        <w:tc>
          <w:tcPr>
            <w:tcW w:type="dxa" w:w="9576"/>
            <w:shd w:fill="EAF3FC"/>
            <w:tcBorders>
              <w:top w:val="nil"/>
              <w:left w:val="single" w:sz="18" w:color="2D6FA2"/>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TOY RULE (NOT A PRODUCTION RULE)  </w:t>
            </w:r>
            <w:r>
              <w:rPr>
                <w:rFonts w:ascii="Comic Neue" w:hAnsi="Comic Neue" w:eastAsia="Comic Neue" w:cs="Comic Neue"/>
                <w:b w:val="0"/>
                <w:i/>
                <w:color w:val="17477A"/>
                <w:sz w:val="18"/>
              </w:rPr>
              <w:t>IF a fictional account has 8 or more failed sign-ins in 10 minutes, THEN create an alert for review. Exclude known test accounts only when the owner and exclusion are documented.</w:t>
            </w:r>
          </w:p>
        </w:tc>
      </w:tr>
    </w:tbl>
    <w:p>
      <w:pPr>
        <w:spacing w:after="20" w:line="144" w:lineRule="auto"/>
      </w:pPr>
    </w:p>
    <w:p>
      <w:r>
        <w:rPr>
          <w:rFonts w:ascii="Z003" w:hAnsi="Z003" w:eastAsia="Z003" w:cs="Z003"/>
          <w:b w:val="0"/>
          <w:i/>
          <w:color w:val="17477A"/>
          <w:sz w:val="24"/>
        </w:rPr>
        <w:t>Why call it a toy rule? The threshold is made up for practice. Real environments need a baseline, expected traffic, source reliability, documented exclusions, and testing before a rule is enabled.</w:t>
      </w:r>
    </w:p>
    <w:p>
      <w:pPr>
        <w:pStyle w:val="Heading1"/>
        <w:keepNext/>
        <w:pageBreakBefore/>
      </w:pPr>
      <w:r>
        <w:rPr>
          <w:rFonts w:ascii="Z003" w:hAnsi="Z003" w:eastAsia="Z003" w:cs="Z003"/>
          <w:b/>
          <w:i w:val="0"/>
          <w:color w:val="17477A"/>
          <w:sz w:val="40"/>
        </w:rPr>
        <w:t>11. MITRE ATT&amp;CK: a shared map</w:t>
      </w:r>
    </w:p>
    <w:p>
      <w:r>
        <w:rPr>
          <w:rFonts w:ascii="Z003" w:hAnsi="Z003" w:eastAsia="Z003" w:cs="Z003"/>
          <w:b w:val="0"/>
          <w:i/>
          <w:color w:val="17477A"/>
          <w:sz w:val="24"/>
        </w:rPr>
        <w:t>MITRE ATT&amp;CK groups observed adversary behaviours into tactics and techniques. A tactic is the goal or stage an actor is trying to achieve; a technique is a behaviour used to pursue that goal. Defenders use ATT&amp;CK to describe behaviours, identify visibility gaps, and plan detections.</w:t>
      </w:r>
    </w:p>
    <w:tbl>
      <w:tblPr>
        <w:tblW w:type="auto" w:w="0"/>
        <w:jc w:val="center"/>
        <w:tblLayout w:type="autofit"/>
        <w:tblLook w:firstColumn="1" w:firstRow="1" w:lastColumn="0" w:lastRow="0" w:noHBand="0" w:noVBand="1" w:val="04A0"/>
      </w:tblPr>
      <w:tblGrid>
        <w:gridCol w:w="1800"/>
        <w:gridCol w:w="3600"/>
        <w:gridCol w:w="3888"/>
      </w:tblGrid>
      <w:tr>
        <w:trPr>
          <w:tblHeader w:val="true"/>
        </w:trPr>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Example tactic</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Plain-language idea</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Possible defensive question</w:t>
            </w:r>
          </w:p>
        </w:tc>
      </w:tr>
      <w:tr>
        <w:tc>
          <w:tcPr>
            <w:tcW w:type="dxa" w:w="180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Initial access</w:t>
            </w:r>
          </w:p>
        </w:tc>
        <w:tc>
          <w:tcPr>
            <w:tcW w:type="dxa" w:w="360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How did activity first reach an environment?</w:t>
            </w:r>
          </w:p>
        </w:tc>
        <w:tc>
          <w:tcPr>
            <w:tcW w:type="dxa" w:w="388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Do email, web, identity, or remote-access records show the entry point?</w:t>
            </w:r>
          </w:p>
        </w:tc>
      </w:tr>
      <w:tr>
        <w:tc>
          <w:tcPr>
            <w:tcW w:type="dxa" w:w="180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Credential access</w:t>
            </w:r>
          </w:p>
        </w:tc>
        <w:tc>
          <w:tcPr>
            <w:tcW w:type="dxa" w:w="360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Was an attempt made to obtain account secrets?</w:t>
            </w:r>
          </w:p>
        </w:tc>
        <w:tc>
          <w:tcPr>
            <w:tcW w:type="dxa" w:w="388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Are there unusual sign-ins or credential-related alerts?</w:t>
            </w:r>
          </w:p>
        </w:tc>
      </w:tr>
      <w:tr>
        <w:tc>
          <w:tcPr>
            <w:tcW w:type="dxa" w:w="180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Discovery</w:t>
            </w:r>
          </w:p>
        </w:tc>
        <w:tc>
          <w:tcPr>
            <w:tcW w:type="dxa" w:w="360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What information about systems or accounts was explored?</w:t>
            </w:r>
          </w:p>
        </w:tc>
        <w:tc>
          <w:tcPr>
            <w:tcW w:type="dxa" w:w="388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Is the activity expected for this user or tool?</w:t>
            </w:r>
          </w:p>
        </w:tc>
      </w:tr>
      <w:tr>
        <w:tc>
          <w:tcPr>
            <w:tcW w:type="dxa" w:w="180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Lateral movement</w:t>
            </w:r>
          </w:p>
        </w:tc>
        <w:tc>
          <w:tcPr>
            <w:tcW w:type="dxa" w:w="360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Did activity move between systems?</w:t>
            </w:r>
          </w:p>
        </w:tc>
        <w:tc>
          <w:tcPr>
            <w:tcW w:type="dxa" w:w="388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Do authentication and endpoint logs show a new host relationship?</w:t>
            </w:r>
          </w:p>
        </w:tc>
      </w:tr>
      <w:tr>
        <w:tc>
          <w:tcPr>
            <w:tcW w:type="dxa" w:w="180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Exfiltration</w:t>
            </w:r>
          </w:p>
        </w:tc>
        <w:tc>
          <w:tcPr>
            <w:tcW w:type="dxa" w:w="360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Might data have left the environment?</w:t>
            </w:r>
          </w:p>
        </w:tc>
        <w:tc>
          <w:tcPr>
            <w:tcW w:type="dxa" w:w="388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Are outbound transfers unusual for the asset and data type?</w:t>
            </w:r>
          </w:p>
        </w:tc>
      </w:tr>
      <w:tr>
        <w:tc>
          <w:tcPr>
            <w:tcW w:type="dxa" w:w="180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Impact</w:t>
            </w:r>
          </w:p>
        </w:tc>
        <w:tc>
          <w:tcPr>
            <w:tcW w:type="dxa" w:w="360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Was availability, integrity, or recovery affected?</w:t>
            </w:r>
          </w:p>
        </w:tc>
        <w:tc>
          <w:tcPr>
            <w:tcW w:type="dxa" w:w="388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Are services, files, or backups behaving unexpectedly?</w:t>
            </w:r>
          </w:p>
        </w:tc>
      </w:tr>
    </w:tbl>
    <w:p/>
    <w:tbl>
      <w:tblPr>
        <w:tblW w:type="auto" w:w="0"/>
        <w:jc w:val="center"/>
        <w:tblLayout w:type="autofit"/>
        <w:tblLook w:firstColumn="1" w:firstRow="1" w:lastColumn="0" w:lastRow="0" w:noHBand="0" w:noVBand="1" w:val="04A0"/>
      </w:tblPr>
      <w:tblGrid>
        <w:gridCol w:w="9576"/>
      </w:tblGrid>
      <w:tr>
        <w:tc>
          <w:tcPr>
            <w:tcW w:type="dxa" w:w="9576"/>
            <w:shd w:fill="FFF3CF"/>
            <w:tcBorders>
              <w:top w:val="nil"/>
              <w:left w:val="single" w:sz="18" w:color="C28827"/>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MAPPING IS NOT PROOF  </w:t>
            </w:r>
            <w:r>
              <w:rPr>
                <w:rFonts w:ascii="Comic Neue" w:hAnsi="Comic Neue" w:eastAsia="Comic Neue" w:cs="Comic Neue"/>
                <w:b w:val="0"/>
                <w:i/>
                <w:color w:val="17477A"/>
                <w:sz w:val="18"/>
              </w:rPr>
              <w:t>An ATT&amp;CK mapping describes a possible behaviour seen in evidence. It does not prove a known group, intent, or full attack chain.</w:t>
            </w:r>
          </w:p>
        </w:tc>
      </w:tr>
    </w:tbl>
    <w:p>
      <w:pPr>
        <w:spacing w:after="20" w:line="144" w:lineRule="auto"/>
      </w:pPr>
    </w:p>
    <w:p>
      <w:pPr>
        <w:pageBreakBefore/>
        <w:spacing w:before="1760" w:after="280"/>
        <w:jc w:val="center"/>
      </w:pPr>
      <w:r>
        <w:rPr>
          <w:rFonts w:ascii="Z003" w:hAnsi="Z003" w:eastAsia="Z003" w:cs="Z003"/>
          <w:b/>
          <w:i/>
          <w:color w:val="17477A"/>
          <w:sz w:val="24"/>
        </w:rPr>
        <w:t>LEVEL 03</w:t>
      </w:r>
    </w:p>
    <w:p>
      <w:pPr>
        <w:spacing w:after="240"/>
        <w:jc w:val="center"/>
      </w:pPr>
      <w:r>
        <w:rPr>
          <w:rFonts w:ascii="Z003" w:hAnsi="Z003" w:eastAsia="Z003" w:cs="Z003"/>
          <w:b/>
          <w:i/>
          <w:color w:val="17477A"/>
          <w:sz w:val="24"/>
        </w:rPr>
        <w:t>Advanced analyst thinking</w:t>
      </w:r>
    </w:p>
    <w:p>
      <w:pPr>
        <w:ind w:left="576" w:right="576"/>
        <w:jc w:val="center"/>
      </w:pPr>
      <w:r>
        <w:rPr>
          <w:rFonts w:ascii="Z003" w:hAnsi="Z003" w:eastAsia="Z003" w:cs="Z003"/>
          <w:b w:val="0"/>
          <w:i/>
          <w:color w:val="17477A"/>
          <w:sz w:val="24"/>
        </w:rPr>
        <w:t>Tune detections, hunt from a hypothesis, preserve evidence, and write useful reports.</w:t>
      </w:r>
    </w:p>
    <w:tbl>
      <w:tblPr>
        <w:tblW w:type="auto" w:w="0"/>
        <w:jc w:val="center"/>
        <w:tblLayout w:type="autofit"/>
        <w:tblLook w:firstColumn="1" w:firstRow="1" w:lastColumn="0" w:lastRow="0" w:noHBand="0" w:noVBand="1" w:val="04A0"/>
      </w:tblPr>
      <w:tblGrid>
        <w:gridCol w:w="9576"/>
      </w:tblGrid>
      <w:tr>
        <w:tc>
          <w:tcPr>
            <w:tcW w:type="dxa" w:w="9576"/>
            <w:shd w:fill="FBE8E5"/>
            <w:tcBorders>
              <w:top w:val="nil"/>
              <w:left w:val="single" w:sz="18" w:color="B6583B"/>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YOUR GOAL  </w:t>
            </w:r>
            <w:r>
              <w:rPr>
                <w:rFonts w:ascii="Comic Neue" w:hAnsi="Comic Neue" w:eastAsia="Comic Neue" w:cs="Comic Neue"/>
                <w:b w:val="0"/>
                <w:i/>
                <w:color w:val="17477A"/>
                <w:sz w:val="18"/>
              </w:rPr>
              <w:t>Finish this level when you can explain the ideas in your own words and complete its practice without copying the answer.</w:t>
            </w:r>
          </w:p>
        </w:tc>
      </w:tr>
    </w:tbl>
    <w:p>
      <w:pPr>
        <w:spacing w:after="20" w:line="144" w:lineRule="auto"/>
      </w:pPr>
    </w:p>
    <w:p>
      <w:pPr>
        <w:pStyle w:val="Heading1"/>
        <w:keepNext/>
      </w:pPr>
      <w:r>
        <w:rPr>
          <w:rFonts w:ascii="Z003" w:hAnsi="Z003" w:eastAsia="Z003" w:cs="Z003"/>
          <w:b/>
          <w:i w:val="0"/>
          <w:color w:val="17477A"/>
          <w:sz w:val="40"/>
        </w:rPr>
        <w:t>12. Measure detection quality honestly</w:t>
      </w:r>
    </w:p>
    <w:p>
      <w:pPr>
        <w:keepLines/>
        <w:spacing w:before="20" w:after="20"/>
        <w:jc w:val="center"/>
      </w:pPr>
      <w:r>
        <w:drawing>
          <wp:inline xmlns:a="http://schemas.openxmlformats.org/drawingml/2006/main" xmlns:pic="http://schemas.openxmlformats.org/drawingml/2006/picture">
            <wp:extent cx="5715000" cy="2063750"/>
            <wp:docPr id="3" name="Picture 3" descr="The four outcomes used to evaluate detection rules"/>
            <wp:cNvGraphicFramePr>
              <a:graphicFrameLocks noChangeAspect="1"/>
            </wp:cNvGraphicFramePr>
            <a:graphic>
              <a:graphicData uri="http://schemas.openxmlformats.org/drawingml/2006/picture">
                <pic:pic>
                  <pic:nvPicPr>
                    <pic:cNvPr id="0" name="soc-detection-metrics.png"/>
                    <pic:cNvPicPr/>
                  </pic:nvPicPr>
                  <pic:blipFill>
                    <a:blip r:embed="rId13"/>
                    <a:stretch>
                      <a:fillRect/>
                    </a:stretch>
                  </pic:blipFill>
                  <pic:spPr>
                    <a:xfrm>
                      <a:off x="0" y="0"/>
                      <a:ext cx="5715000" cy="2063750"/>
                    </a:xfrm>
                    <a:prstGeom prst="rect"/>
                  </pic:spPr>
                </pic:pic>
              </a:graphicData>
            </a:graphic>
          </wp:inline>
        </w:drawing>
      </w:r>
    </w:p>
    <w:p>
      <w:pPr>
        <w:keepLines/>
        <w:spacing w:before="0" w:after="80"/>
        <w:jc w:val="center"/>
      </w:pPr>
      <w:r>
        <w:rPr>
          <w:rFonts w:ascii="Z003" w:hAnsi="Z003" w:cs="Z003" w:eastAsia="Z003"/>
          <w:b w:val="0"/>
          <w:i/>
          <w:color w:val="267C75"/>
          <w:sz w:val="21"/>
        </w:rPr>
        <w:t>FIGURE 03 • The four outcomes used to evaluate detection rules</w:t>
      </w:r>
    </w:p>
    <w:tbl>
      <w:tblPr>
        <w:tblW w:type="auto" w:w="0"/>
        <w:jc w:val="center"/>
        <w:tblLayout w:type="autofit"/>
        <w:tblLook w:firstColumn="1" w:firstRow="1" w:lastColumn="0" w:lastRow="0" w:noHBand="0" w:noVBand="1" w:val="04A0"/>
      </w:tblPr>
      <w:tblGrid>
        <w:gridCol w:w="1872"/>
        <w:gridCol w:w="4536"/>
        <w:gridCol w:w="2880"/>
      </w:tblGrid>
      <w:tr>
        <w:trPr>
          <w:tblHeader w:val="true"/>
        </w:trPr>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Term</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Plain meaning</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Formula / example</w:t>
            </w:r>
          </w:p>
        </w:tc>
      </w:tr>
      <w:tr>
        <w:tc>
          <w:tcPr>
            <w:tcW w:type="dxa" w:w="18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True positive (TP)</w:t>
            </w:r>
          </w:p>
        </w:tc>
        <w:tc>
          <w:tcPr>
            <w:tcW w:type="dxa" w:w="453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suspicious case was correctly alerted.</w:t>
            </w:r>
          </w:p>
        </w:tc>
        <w:tc>
          <w:tcPr>
            <w:tcW w:type="dxa" w:w="288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The labelled suspicious record was detected.</w:t>
            </w:r>
          </w:p>
        </w:tc>
      </w:tr>
      <w:tr>
        <w:tc>
          <w:tcPr>
            <w:tcW w:type="dxa" w:w="18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False positive (FP)</w:t>
            </w:r>
          </w:p>
        </w:tc>
        <w:tc>
          <w:tcPr>
            <w:tcW w:type="dxa" w:w="453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normal case was incorrectly alerted.</w:t>
            </w:r>
          </w:p>
        </w:tc>
        <w:tc>
          <w:tcPr>
            <w:tcW w:type="dxa" w:w="288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The rule flags a known admin task.</w:t>
            </w:r>
          </w:p>
        </w:tc>
      </w:tr>
      <w:tr>
        <w:tc>
          <w:tcPr>
            <w:tcW w:type="dxa" w:w="18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True negative (TN)</w:t>
            </w:r>
          </w:p>
        </w:tc>
        <w:tc>
          <w:tcPr>
            <w:tcW w:type="dxa" w:w="453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normal case correctly did not alert.</w:t>
            </w:r>
          </w:p>
        </w:tc>
        <w:tc>
          <w:tcPr>
            <w:tcW w:type="dxa" w:w="288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benign record was not flagged.</w:t>
            </w:r>
          </w:p>
        </w:tc>
      </w:tr>
      <w:tr>
        <w:tc>
          <w:tcPr>
            <w:tcW w:type="dxa" w:w="18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False negative (FN)</w:t>
            </w:r>
          </w:p>
        </w:tc>
        <w:tc>
          <w:tcPr>
            <w:tcW w:type="dxa" w:w="453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suspicious case was missed.</w:t>
            </w:r>
          </w:p>
        </w:tc>
        <w:tc>
          <w:tcPr>
            <w:tcW w:type="dxa" w:w="288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labelled suspicious record got no alert.</w:t>
            </w:r>
          </w:p>
        </w:tc>
      </w:tr>
      <w:tr>
        <w:tc>
          <w:tcPr>
            <w:tcW w:type="dxa" w:w="18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Precision</w:t>
            </w:r>
          </w:p>
        </w:tc>
        <w:tc>
          <w:tcPr>
            <w:tcW w:type="dxa" w:w="453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Of all alerts, how many were true positives?</w:t>
            </w:r>
          </w:p>
        </w:tc>
        <w:tc>
          <w:tcPr>
            <w:tcW w:type="dxa" w:w="288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TP / (TP + FP)</w:t>
            </w:r>
          </w:p>
        </w:tc>
      </w:tr>
      <w:tr>
        <w:tc>
          <w:tcPr>
            <w:tcW w:type="dxa" w:w="18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Recall</w:t>
            </w:r>
          </w:p>
        </w:tc>
        <w:tc>
          <w:tcPr>
            <w:tcW w:type="dxa" w:w="453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Of all suspicious cases, how many were found?</w:t>
            </w:r>
          </w:p>
        </w:tc>
        <w:tc>
          <w:tcPr>
            <w:tcW w:type="dxa" w:w="288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TP / (TP + FN)</w:t>
            </w:r>
          </w:p>
        </w:tc>
      </w:tr>
      <w:tr>
        <w:tc>
          <w:tcPr>
            <w:tcW w:type="dxa" w:w="18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Specificity</w:t>
            </w:r>
          </w:p>
        </w:tc>
        <w:tc>
          <w:tcPr>
            <w:tcW w:type="dxa" w:w="453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Of benign cases, how many were not flagged?</w:t>
            </w:r>
          </w:p>
        </w:tc>
        <w:tc>
          <w:tcPr>
            <w:tcW w:type="dxa" w:w="288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TN / (TN + FP)</w:t>
            </w:r>
          </w:p>
        </w:tc>
      </w:tr>
      <w:tr>
        <w:tc>
          <w:tcPr>
            <w:tcW w:type="dxa" w:w="18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F1 score</w:t>
            </w:r>
          </w:p>
        </w:tc>
        <w:tc>
          <w:tcPr>
            <w:tcW w:type="dxa" w:w="453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balance measure for precision and recall.</w:t>
            </w:r>
          </w:p>
        </w:tc>
        <w:tc>
          <w:tcPr>
            <w:tcW w:type="dxa" w:w="288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2 × precision × recall / (precision + recall)</w:t>
            </w:r>
          </w:p>
        </w:tc>
      </w:tr>
    </w:tbl>
    <w:p/>
    <w:tbl>
      <w:tblPr>
        <w:tblW w:type="auto" w:w="0"/>
        <w:jc w:val="center"/>
        <w:tblLayout w:type="autofit"/>
        <w:tblLook w:firstColumn="1" w:firstRow="1" w:lastColumn="0" w:lastRow="0" w:noHBand="0" w:noVBand="1" w:val="04A0"/>
      </w:tblPr>
      <w:tblGrid>
        <w:gridCol w:w="9576"/>
      </w:tblGrid>
      <w:tr>
        <w:tc>
          <w:tcPr>
            <w:tcW w:type="dxa" w:w="9576"/>
            <w:shd w:fill="FFF3CF"/>
            <w:tcBorders>
              <w:top w:val="nil"/>
              <w:left w:val="single" w:sz="18" w:color="C28827"/>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METRIC CAUTION  </w:t>
            </w:r>
            <w:r>
              <w:rPr>
                <w:rFonts w:ascii="Comic Neue" w:hAnsi="Comic Neue" w:eastAsia="Comic Neue" w:cs="Comic Neue"/>
                <w:b w:val="0"/>
                <w:i/>
                <w:color w:val="17477A"/>
                <w:sz w:val="18"/>
              </w:rPr>
              <w:t>Always report dataset size, labels, exclusions, class balance, and limitations. A neat score on a small synthetic dataset does not prove production performance.</w:t>
            </w:r>
          </w:p>
        </w:tc>
      </w:tr>
    </w:tbl>
    <w:p>
      <w:pPr>
        <w:spacing w:after="20" w:line="144" w:lineRule="auto"/>
      </w:pPr>
    </w:p>
    <w:p>
      <w:pPr>
        <w:pStyle w:val="Heading1"/>
        <w:keepNext/>
      </w:pPr>
      <w:r>
        <w:rPr>
          <w:rFonts w:ascii="Z003" w:hAnsi="Z003" w:eastAsia="Z003" w:cs="Z003"/>
          <w:b/>
          <w:i w:val="0"/>
          <w:color w:val="17477A"/>
          <w:sz w:val="40"/>
        </w:rPr>
        <w:t>13. Detection tuning: a controlled comparison</w:t>
      </w:r>
    </w:p>
    <w:p>
      <w:pPr>
        <w:pStyle w:val="ListNumber"/>
        <w:spacing w:after="50"/>
        <w:ind w:left="317" w:hanging="202"/>
      </w:pPr>
      <w:r>
        <w:rPr>
          <w:rFonts w:ascii="Z003" w:hAnsi="Z003" w:eastAsia="Z003" w:cs="Z003"/>
          <w:b w:val="0"/>
          <w:i/>
          <w:color w:val="17477A"/>
          <w:sz w:val="24"/>
        </w:rPr>
        <w:t>Write the detection goal before changing the rule.</w:t>
      </w:r>
    </w:p>
    <w:p>
      <w:pPr>
        <w:pStyle w:val="ListNumber"/>
        <w:spacing w:after="50"/>
        <w:ind w:left="317" w:hanging="202"/>
      </w:pPr>
      <w:r>
        <w:rPr>
          <w:rFonts w:ascii="Z003" w:hAnsi="Z003" w:eastAsia="Z003" w:cs="Z003"/>
          <w:b w:val="0"/>
          <w:i/>
          <w:color w:val="17477A"/>
          <w:sz w:val="24"/>
        </w:rPr>
        <w:t>Record the original logic and the baseline results.</w:t>
      </w:r>
    </w:p>
    <w:p>
      <w:pPr>
        <w:pStyle w:val="ListNumber"/>
        <w:spacing w:after="50"/>
        <w:ind w:left="317" w:hanging="202"/>
      </w:pPr>
      <w:r>
        <w:rPr>
          <w:rFonts w:ascii="Z003" w:hAnsi="Z003" w:eastAsia="Z003" w:cs="Z003"/>
          <w:b w:val="0"/>
          <w:i/>
          <w:color w:val="17477A"/>
          <w:sz w:val="24"/>
        </w:rPr>
        <w:t>Use representative labelled data where possible, including benign cases.</w:t>
      </w:r>
    </w:p>
    <w:p>
      <w:pPr>
        <w:pStyle w:val="ListNumber"/>
        <w:spacing w:after="50"/>
        <w:ind w:left="317" w:hanging="202"/>
      </w:pPr>
      <w:r>
        <w:rPr>
          <w:rFonts w:ascii="Z003" w:hAnsi="Z003" w:eastAsia="Z003" w:cs="Z003"/>
          <w:b w:val="0"/>
          <w:i/>
          <w:color w:val="17477A"/>
          <w:sz w:val="24"/>
        </w:rPr>
        <w:t>Change one meaningful element at a time so you can explain the result.</w:t>
      </w:r>
    </w:p>
    <w:p>
      <w:pPr>
        <w:pStyle w:val="ListNumber"/>
        <w:spacing w:after="50"/>
        <w:ind w:left="317" w:hanging="202"/>
      </w:pPr>
      <w:r>
        <w:rPr>
          <w:rFonts w:ascii="Z003" w:hAnsi="Z003" w:eastAsia="Z003" w:cs="Z003"/>
          <w:b w:val="0"/>
          <w:i/>
          <w:color w:val="17477A"/>
          <w:sz w:val="24"/>
        </w:rPr>
        <w:t>Compare false alerts and missed cases, not just the total number of alerts.</w:t>
      </w:r>
    </w:p>
    <w:p>
      <w:pPr>
        <w:pStyle w:val="ListNumber"/>
        <w:spacing w:after="50"/>
        <w:ind w:left="317" w:hanging="202"/>
      </w:pPr>
      <w:r>
        <w:rPr>
          <w:rFonts w:ascii="Z003" w:hAnsi="Z003" w:eastAsia="Z003" w:cs="Z003"/>
          <w:b w:val="0"/>
          <w:i/>
          <w:color w:val="17477A"/>
          <w:sz w:val="24"/>
        </w:rPr>
        <w:t>Document the trade-off, data limits, owner, review date, and rollback plan.</w:t>
      </w:r>
    </w:p>
    <w:p>
      <w:pPr>
        <w:pStyle w:val="Heading1"/>
        <w:keepNext/>
      </w:pPr>
      <w:r>
        <w:rPr>
          <w:rFonts w:ascii="Z003" w:hAnsi="Z003" w:eastAsia="Z003" w:cs="Z003"/>
          <w:b/>
          <w:i w:val="0"/>
          <w:color w:val="17477A"/>
          <w:sz w:val="40"/>
        </w:rPr>
        <w:t>14. Threat hunting: start with a hypothesis</w:t>
      </w:r>
    </w:p>
    <w:p>
      <w:pPr>
        <w:keepLines/>
        <w:spacing w:before="20" w:after="20"/>
        <w:jc w:val="center"/>
      </w:pPr>
      <w:r>
        <w:drawing>
          <wp:inline xmlns:a="http://schemas.openxmlformats.org/drawingml/2006/main" xmlns:pic="http://schemas.openxmlformats.org/drawingml/2006/picture">
            <wp:extent cx="5715000" cy="2063750"/>
            <wp:docPr id="4" name="Picture 4" descr="A testable hypothesis-to-report loop"/>
            <wp:cNvGraphicFramePr>
              <a:graphicFrameLocks noChangeAspect="1"/>
            </wp:cNvGraphicFramePr>
            <a:graphic>
              <a:graphicData uri="http://schemas.openxmlformats.org/drawingml/2006/picture">
                <pic:pic>
                  <pic:nvPicPr>
                    <pic:cNvPr id="0" name="soc-hunting-loop.png"/>
                    <pic:cNvPicPr/>
                  </pic:nvPicPr>
                  <pic:blipFill>
                    <a:blip r:embed="rId14"/>
                    <a:stretch>
                      <a:fillRect/>
                    </a:stretch>
                  </pic:blipFill>
                  <pic:spPr>
                    <a:xfrm>
                      <a:off x="0" y="0"/>
                      <a:ext cx="5715000" cy="2063750"/>
                    </a:xfrm>
                    <a:prstGeom prst="rect"/>
                  </pic:spPr>
                </pic:pic>
              </a:graphicData>
            </a:graphic>
          </wp:inline>
        </w:drawing>
      </w:r>
    </w:p>
    <w:p>
      <w:pPr>
        <w:keepLines/>
        <w:spacing w:before="0" w:after="80"/>
        <w:jc w:val="center"/>
      </w:pPr>
      <w:r>
        <w:rPr>
          <w:rFonts w:ascii="Z003" w:hAnsi="Z003" w:cs="Z003" w:eastAsia="Z003"/>
          <w:b w:val="0"/>
          <w:i/>
          <w:color w:val="267C75"/>
          <w:sz w:val="21"/>
        </w:rPr>
        <w:t>FIGURE 04 • A testable hypothesis-to-report loop</w:t>
      </w:r>
    </w:p>
    <w:p>
      <w:r>
        <w:rPr>
          <w:rFonts w:ascii="Z003" w:hAnsi="Z003" w:eastAsia="Z003" w:cs="Z003"/>
          <w:b w:val="0"/>
          <w:i/>
          <w:color w:val="17477A"/>
          <w:sz w:val="24"/>
        </w:rPr>
        <w:t>Threat hunting is a planned search through available telemetry to check whether a concerning behaviour may be present. It is not random searching and it is not proof that an attacker exists.</w:t>
      </w:r>
    </w:p>
    <w:tbl>
      <w:tblPr>
        <w:tblW w:type="auto" w:w="0"/>
        <w:jc w:val="center"/>
        <w:tblLayout w:type="autofit"/>
        <w:tblLook w:firstColumn="1" w:firstRow="1" w:lastColumn="0" w:lastRow="0" w:noHBand="0" w:noVBand="1" w:val="04A0"/>
      </w:tblPr>
      <w:tblGrid>
        <w:gridCol w:w="9576"/>
      </w:tblGrid>
      <w:tr>
        <w:tc>
          <w:tcPr>
            <w:tcW w:type="dxa" w:w="9576"/>
            <w:shd w:fill="E5F5EC"/>
            <w:tcBorders>
              <w:top w:val="nil"/>
              <w:left w:val="single" w:sz="18" w:color="237C6D"/>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EXAMPLE HYPOTHESIS  </w:t>
            </w:r>
            <w:r>
              <w:rPr>
                <w:rFonts w:ascii="Comic Neue" w:hAnsi="Comic Neue" w:eastAsia="Comic Neue" w:cs="Comic Neue"/>
                <w:b w:val="0"/>
                <w:i/>
                <w:color w:val="17477A"/>
                <w:sz w:val="18"/>
              </w:rPr>
              <w:t>“If a practice account is being misused, I may see an unusual sign-in time followed by access to a sensitive resource from a new device.”</w:t>
            </w:r>
          </w:p>
        </w:tc>
      </w:tr>
    </w:tbl>
    <w:p>
      <w:pPr>
        <w:spacing w:after="20" w:line="144" w:lineRule="auto"/>
      </w:pPr>
    </w:p>
    <w:tbl>
      <w:tblPr>
        <w:tblW w:type="auto" w:w="0"/>
        <w:jc w:val="center"/>
        <w:tblLayout w:type="autofit"/>
        <w:tblLook w:firstColumn="1" w:firstRow="1" w:lastColumn="0" w:lastRow="0" w:noHBand="0" w:noVBand="1" w:val="04A0"/>
      </w:tblPr>
      <w:tblGrid>
        <w:gridCol w:w="2232"/>
        <w:gridCol w:w="7056"/>
      </w:tblGrid>
      <w:tr>
        <w:trPr>
          <w:tblHeader w:val="true"/>
        </w:trPr>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Hunt part</w:t>
            </w:r>
          </w:p>
        </w:tc>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What to write</w:t>
            </w:r>
          </w:p>
        </w:tc>
      </w:tr>
      <w:tr>
        <w:tc>
          <w:tcPr>
            <w:tcW w:type="dxa" w:w="22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Hypothesis</w:t>
            </w:r>
          </w:p>
        </w:tc>
        <w:tc>
          <w:tcPr>
            <w:tcW w:type="dxa" w:w="70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One clear statement that could be supported or weakened by evidence.</w:t>
            </w:r>
          </w:p>
        </w:tc>
      </w:tr>
      <w:tr>
        <w:tc>
          <w:tcPr>
            <w:tcW w:type="dxa" w:w="22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Data needed</w:t>
            </w:r>
          </w:p>
        </w:tc>
        <w:tc>
          <w:tcPr>
            <w:tcW w:type="dxa" w:w="70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Which logs, fields, time range, and known limitations matter?</w:t>
            </w:r>
          </w:p>
        </w:tc>
      </w:tr>
      <w:tr>
        <w:tc>
          <w:tcPr>
            <w:tcW w:type="dxa" w:w="22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Expected baseline</w:t>
            </w:r>
          </w:p>
        </w:tc>
        <w:tc>
          <w:tcPr>
            <w:tcW w:type="dxa" w:w="70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What normal behaviour would look like for this account or service.</w:t>
            </w:r>
          </w:p>
        </w:tc>
      </w:tr>
      <w:tr>
        <w:tc>
          <w:tcPr>
            <w:tcW w:type="dxa" w:w="22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Test</w:t>
            </w:r>
          </w:p>
        </w:tc>
        <w:tc>
          <w:tcPr>
            <w:tcW w:type="dxa" w:w="70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The safe query or review steps within your own data and authorised lab.</w:t>
            </w:r>
          </w:p>
        </w:tc>
      </w:tr>
      <w:tr>
        <w:tc>
          <w:tcPr>
            <w:tcW w:type="dxa" w:w="22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Result</w:t>
            </w:r>
          </w:p>
        </w:tc>
        <w:tc>
          <w:tcPr>
            <w:tcW w:type="dxa" w:w="70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What was found, what was not found, and what was unavailable.</w:t>
            </w:r>
          </w:p>
        </w:tc>
      </w:tr>
      <w:tr>
        <w:tc>
          <w:tcPr>
            <w:tcW w:type="dxa" w:w="22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Next decision</w:t>
            </w:r>
          </w:p>
        </w:tc>
        <w:tc>
          <w:tcPr>
            <w:tcW w:type="dxa" w:w="70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Close, collect more context, tune a rule, or escalate under procedure.</w:t>
            </w:r>
          </w:p>
        </w:tc>
      </w:tr>
    </w:tbl>
    <w:p/>
    <w:p>
      <w:pPr>
        <w:pStyle w:val="Heading1"/>
        <w:keepNext/>
      </w:pPr>
      <w:r>
        <w:rPr>
          <w:rFonts w:ascii="Z003" w:hAnsi="Z003" w:eastAsia="Z003" w:cs="Z003"/>
          <w:b/>
          <w:i w:val="0"/>
          <w:color w:val="17477A"/>
          <w:sz w:val="40"/>
        </w:rPr>
        <w:t>15. Evidence handling and incident notes</w:t>
      </w:r>
    </w:p>
    <w:p>
      <w:pPr>
        <w:keepLines/>
        <w:spacing w:before="20" w:after="20"/>
        <w:jc w:val="center"/>
      </w:pPr>
      <w:r>
        <w:drawing>
          <wp:inline xmlns:a="http://schemas.openxmlformats.org/drawingml/2006/main" xmlns:pic="http://schemas.openxmlformats.org/drawingml/2006/picture">
            <wp:extent cx="5715000" cy="2063750"/>
            <wp:docPr id="5" name="Picture 5" descr="A high-level incident-response cycle"/>
            <wp:cNvGraphicFramePr>
              <a:graphicFrameLocks noChangeAspect="1"/>
            </wp:cNvGraphicFramePr>
            <a:graphic>
              <a:graphicData uri="http://schemas.openxmlformats.org/drawingml/2006/picture">
                <pic:pic>
                  <pic:nvPicPr>
                    <pic:cNvPr id="0" name="soc-incident-response.png"/>
                    <pic:cNvPicPr/>
                  </pic:nvPicPr>
                  <pic:blipFill>
                    <a:blip r:embed="rId15"/>
                    <a:stretch>
                      <a:fillRect/>
                    </a:stretch>
                  </pic:blipFill>
                  <pic:spPr>
                    <a:xfrm>
                      <a:off x="0" y="0"/>
                      <a:ext cx="5715000" cy="2063750"/>
                    </a:xfrm>
                    <a:prstGeom prst="rect"/>
                  </pic:spPr>
                </pic:pic>
              </a:graphicData>
            </a:graphic>
          </wp:inline>
        </w:drawing>
      </w:r>
    </w:p>
    <w:p>
      <w:pPr>
        <w:keepLines/>
        <w:spacing w:before="0" w:after="80"/>
        <w:jc w:val="center"/>
      </w:pPr>
      <w:r>
        <w:rPr>
          <w:rFonts w:ascii="Z003" w:hAnsi="Z003" w:cs="Z003" w:eastAsia="Z003"/>
          <w:b w:val="0"/>
          <w:i/>
          <w:color w:val="267C75"/>
          <w:sz w:val="21"/>
        </w:rPr>
        <w:t>FIGURE 05 • A high-level incident-response cycle</w:t>
      </w:r>
    </w:p>
    <w:p>
      <w:pPr>
        <w:pStyle w:val="ListBullet"/>
        <w:spacing w:after="50" w:line="245" w:lineRule="auto"/>
        <w:ind w:left="317" w:hanging="202"/>
      </w:pPr>
      <w:r>
        <w:rPr>
          <w:rFonts w:ascii="Z003" w:hAnsi="Z003" w:eastAsia="Z003" w:cs="Z003"/>
          <w:b w:val="0"/>
          <w:i/>
          <w:color w:val="17477A"/>
          <w:sz w:val="24"/>
        </w:rPr>
        <w:t>Preserve the original record or provider reference where policy permits.</w:t>
      </w:r>
    </w:p>
    <w:p>
      <w:pPr>
        <w:pStyle w:val="ListBullet"/>
        <w:spacing w:after="50" w:line="245" w:lineRule="auto"/>
        <w:ind w:left="317" w:hanging="202"/>
      </w:pPr>
      <w:r>
        <w:rPr>
          <w:rFonts w:ascii="Z003" w:hAnsi="Z003" w:eastAsia="Z003" w:cs="Z003"/>
          <w:b w:val="0"/>
          <w:i/>
          <w:color w:val="17477A"/>
          <w:sz w:val="24"/>
        </w:rPr>
        <w:t>Record who collected it, when, from where, and which timezone was used.</w:t>
      </w:r>
    </w:p>
    <w:p>
      <w:pPr>
        <w:pStyle w:val="ListBullet"/>
        <w:spacing w:after="50" w:line="245" w:lineRule="auto"/>
        <w:ind w:left="317" w:hanging="202"/>
      </w:pPr>
      <w:r>
        <w:rPr>
          <w:rFonts w:ascii="Z003" w:hAnsi="Z003" w:eastAsia="Z003" w:cs="Z003"/>
          <w:b w:val="0"/>
          <w:i/>
          <w:color w:val="17477A"/>
          <w:sz w:val="24"/>
        </w:rPr>
        <w:t>Avoid changing the source evidence. Work on copies when needed.</w:t>
      </w:r>
    </w:p>
    <w:p>
      <w:pPr>
        <w:pStyle w:val="ListBullet"/>
        <w:spacing w:after="50" w:line="245" w:lineRule="auto"/>
        <w:ind w:left="317" w:hanging="202"/>
      </w:pPr>
      <w:r>
        <w:rPr>
          <w:rFonts w:ascii="Z003" w:hAnsi="Z003" w:eastAsia="Z003" w:cs="Z003"/>
          <w:b w:val="0"/>
          <w:i/>
          <w:color w:val="17477A"/>
          <w:sz w:val="24"/>
        </w:rPr>
        <w:t>Note any parsing, filtering, normalisation, or exclusion that changed the view.</w:t>
      </w:r>
    </w:p>
    <w:p>
      <w:pPr>
        <w:pStyle w:val="ListBullet"/>
        <w:spacing w:after="50" w:line="245" w:lineRule="auto"/>
        <w:ind w:left="317" w:hanging="202"/>
      </w:pPr>
      <w:r>
        <w:rPr>
          <w:rFonts w:ascii="Z003" w:hAnsi="Z003" w:eastAsia="Z003" w:cs="Z003"/>
          <w:b w:val="0"/>
          <w:i/>
          <w:color w:val="17477A"/>
          <w:sz w:val="24"/>
        </w:rPr>
        <w:t>Keep direct observations separate from interpretation and confidence.</w:t>
      </w:r>
    </w:p>
    <w:p>
      <w:pPr>
        <w:pStyle w:val="ListBullet"/>
        <w:spacing w:after="50" w:line="245" w:lineRule="auto"/>
        <w:ind w:left="317" w:hanging="202"/>
      </w:pPr>
      <w:r>
        <w:rPr>
          <w:rFonts w:ascii="Z003" w:hAnsi="Z003" w:eastAsia="Z003" w:cs="Z003"/>
          <w:b w:val="0"/>
          <w:i/>
          <w:color w:val="17477A"/>
          <w:sz w:val="24"/>
        </w:rPr>
        <w:t>Follow the organisation’s evidence-handling, privacy, and escalation rules.</w:t>
      </w:r>
    </w:p>
    <w:p>
      <w:pPr>
        <w:pStyle w:val="Heading1"/>
        <w:keepNext/>
      </w:pPr>
      <w:r>
        <w:rPr>
          <w:rFonts w:ascii="Z003" w:hAnsi="Z003" w:eastAsia="Z003" w:cs="Z003"/>
          <w:b/>
          <w:i w:val="0"/>
          <w:color w:val="17477A"/>
          <w:sz w:val="40"/>
        </w:rPr>
        <w:t>16. Write a useful case summary</w:t>
      </w:r>
    </w:p>
    <w:tbl>
      <w:tblPr>
        <w:tblW w:type="auto" w:w="0"/>
        <w:jc w:val="center"/>
        <w:tblLayout w:type="autofit"/>
        <w:tblLook w:firstColumn="1" w:firstRow="1" w:lastColumn="0" w:lastRow="0" w:noHBand="0" w:noVBand="1" w:val="04A0"/>
      </w:tblPr>
      <w:tblGrid>
        <w:gridCol w:w="1872"/>
        <w:gridCol w:w="7416"/>
      </w:tblGrid>
      <w:tr>
        <w:trPr>
          <w:tblHeader w:val="true"/>
        </w:trPr>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Section</w:t>
            </w:r>
          </w:p>
        </w:tc>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Prompt</w:t>
            </w:r>
          </w:p>
        </w:tc>
      </w:tr>
      <w:tr>
        <w:tc>
          <w:tcPr>
            <w:tcW w:type="dxa" w:w="18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Question</w:t>
            </w:r>
          </w:p>
        </w:tc>
        <w:tc>
          <w:tcPr>
            <w:tcW w:type="dxa" w:w="741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What are we trying to determine?</w:t>
            </w:r>
          </w:p>
        </w:tc>
      </w:tr>
      <w:tr>
        <w:tc>
          <w:tcPr>
            <w:tcW w:type="dxa" w:w="18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Scope</w:t>
            </w:r>
          </w:p>
        </w:tc>
        <w:tc>
          <w:tcPr>
            <w:tcW w:type="dxa" w:w="741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Which accounts, devices, services, and time window are in scope?</w:t>
            </w:r>
          </w:p>
        </w:tc>
      </w:tr>
      <w:tr>
        <w:tc>
          <w:tcPr>
            <w:tcW w:type="dxa" w:w="18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Facts</w:t>
            </w:r>
          </w:p>
        </w:tc>
        <w:tc>
          <w:tcPr>
            <w:tcW w:type="dxa" w:w="741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What directly observed records support the summary?</w:t>
            </w:r>
          </w:p>
        </w:tc>
      </w:tr>
      <w:tr>
        <w:tc>
          <w:tcPr>
            <w:tcW w:type="dxa" w:w="18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Reasoning</w:t>
            </w:r>
          </w:p>
        </w:tc>
        <w:tc>
          <w:tcPr>
            <w:tcW w:type="dxa" w:w="741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What explanations fit, and what contradicts them?</w:t>
            </w:r>
          </w:p>
        </w:tc>
      </w:tr>
      <w:tr>
        <w:tc>
          <w:tcPr>
            <w:tcW w:type="dxa" w:w="18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Unknowns</w:t>
            </w:r>
          </w:p>
        </w:tc>
        <w:tc>
          <w:tcPr>
            <w:tcW w:type="dxa" w:w="741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Which logs are missing or untrusted?</w:t>
            </w:r>
          </w:p>
        </w:tc>
      </w:tr>
      <w:tr>
        <w:tc>
          <w:tcPr>
            <w:tcW w:type="dxa" w:w="18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Action</w:t>
            </w:r>
          </w:p>
        </w:tc>
        <w:tc>
          <w:tcPr>
            <w:tcW w:type="dxa" w:w="741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What is the approved next step, owner, and reason?</w:t>
            </w:r>
          </w:p>
        </w:tc>
      </w:tr>
    </w:tbl>
    <w:p/>
    <w:tbl>
      <w:tblPr>
        <w:tblW w:type="auto" w:w="0"/>
        <w:jc w:val="center"/>
        <w:tblLayout w:type="autofit"/>
        <w:tblLook w:firstColumn="1" w:firstRow="1" w:lastColumn="0" w:lastRow="0" w:noHBand="0" w:noVBand="1" w:val="04A0"/>
      </w:tblPr>
      <w:tblGrid>
        <w:gridCol w:w="9576"/>
      </w:tblGrid>
      <w:tr>
        <w:tc>
          <w:tcPr>
            <w:tcW w:type="dxa" w:w="9576"/>
            <w:shd w:fill="EAF3FC"/>
            <w:tcBorders>
              <w:top w:val="nil"/>
              <w:left w:val="single" w:sz="18" w:color="2D6FA2"/>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MODEL WRITING  </w:t>
            </w:r>
            <w:r>
              <w:rPr>
                <w:rFonts w:ascii="Comic Neue" w:hAnsi="Comic Neue" w:eastAsia="Comic Neue" w:cs="Comic Neue"/>
                <w:b w:val="0"/>
                <w:i/>
                <w:color w:val="17477A"/>
                <w:sz w:val="18"/>
              </w:rPr>
              <w:t>“We observed four failed sign-ins from a new source within six minutes, followed by a successful sign-in. The pattern differs from the supplied baseline. Account ownership and the MFA result are not yet confirmed. Recommend verifying with the account owner and reviewing the related session under the incident process.”</w:t>
            </w:r>
          </w:p>
        </w:tc>
      </w:tr>
    </w:tbl>
    <w:p>
      <w:pPr>
        <w:spacing w:after="20" w:line="144" w:lineRule="auto"/>
      </w:pPr>
    </w:p>
    <w:p>
      <w:pPr>
        <w:pStyle w:val="Heading1"/>
        <w:keepNext/>
      </w:pPr>
      <w:r>
        <w:rPr>
          <w:rFonts w:ascii="Z003" w:hAnsi="Z003" w:eastAsia="Z003" w:cs="Z003"/>
          <w:b/>
          <w:i w:val="0"/>
          <w:color w:val="17477A"/>
          <w:sz w:val="40"/>
        </w:rPr>
        <w:t>Final review quiz</w:t>
      </w:r>
    </w:p>
    <w:p>
      <w:pPr>
        <w:pStyle w:val="ListNumber"/>
        <w:spacing w:after="50"/>
        <w:ind w:left="317" w:hanging="202"/>
      </w:pPr>
      <w:r>
        <w:rPr>
          <w:rFonts w:ascii="Z003" w:hAnsi="Z003" w:eastAsia="Z003" w:cs="Z003"/>
          <w:b w:val="0"/>
          <w:i/>
          <w:color w:val="17477A"/>
          <w:sz w:val="24"/>
        </w:rPr>
        <w:t>What is the difference between an event, an alert, and an incident?</w:t>
      </w:r>
    </w:p>
    <w:p>
      <w:pPr>
        <w:pStyle w:val="ListNumber"/>
        <w:spacing w:after="50"/>
        <w:ind w:left="317" w:hanging="202"/>
      </w:pPr>
      <w:r>
        <w:rPr>
          <w:rFonts w:ascii="Z003" w:hAnsi="Z003" w:eastAsia="Z003" w:cs="Z003"/>
          <w:b w:val="0"/>
          <w:i/>
          <w:color w:val="17477A"/>
          <w:sz w:val="24"/>
        </w:rPr>
        <w:t>Name four fields you would validate before trusting a log timeline.</w:t>
      </w:r>
    </w:p>
    <w:p>
      <w:pPr>
        <w:pStyle w:val="ListNumber"/>
        <w:spacing w:after="50"/>
        <w:ind w:left="317" w:hanging="202"/>
      </w:pPr>
      <w:r>
        <w:rPr>
          <w:rFonts w:ascii="Z003" w:hAnsi="Z003" w:eastAsia="Z003" w:cs="Z003"/>
          <w:b w:val="0"/>
          <w:i/>
          <w:color w:val="17477A"/>
          <w:sz w:val="24"/>
        </w:rPr>
        <w:t>Why is a successful login after repeated failures worth reviewing but not proof by itself?</w:t>
      </w:r>
    </w:p>
    <w:p>
      <w:pPr>
        <w:pStyle w:val="ListNumber"/>
        <w:spacing w:after="50"/>
        <w:ind w:left="317" w:hanging="202"/>
      </w:pPr>
      <w:r>
        <w:rPr>
          <w:rFonts w:ascii="Z003" w:hAnsi="Z003" w:eastAsia="Z003" w:cs="Z003"/>
          <w:b w:val="0"/>
          <w:i/>
          <w:color w:val="17477A"/>
          <w:sz w:val="24"/>
        </w:rPr>
        <w:t>What does precision measure? What does recall measure?</w:t>
      </w:r>
    </w:p>
    <w:p>
      <w:pPr>
        <w:pStyle w:val="ListNumber"/>
        <w:spacing w:after="50"/>
        <w:ind w:left="317" w:hanging="202"/>
      </w:pPr>
      <w:r>
        <w:rPr>
          <w:rFonts w:ascii="Z003" w:hAnsi="Z003" w:eastAsia="Z003" w:cs="Z003"/>
          <w:b w:val="0"/>
          <w:i/>
          <w:color w:val="17477A"/>
          <w:sz w:val="24"/>
        </w:rPr>
        <w:t>What is the difference between a hunting hypothesis and a conclusion?</w:t>
      </w:r>
    </w:p>
    <w:p>
      <w:pPr>
        <w:pStyle w:val="ListNumber"/>
        <w:spacing w:after="50"/>
        <w:ind w:left="317" w:hanging="202"/>
      </w:pPr>
      <w:r>
        <w:rPr>
          <w:rFonts w:ascii="Z003" w:hAnsi="Z003" w:eastAsia="Z003" w:cs="Z003"/>
          <w:b w:val="0"/>
          <w:i/>
          <w:color w:val="17477A"/>
          <w:sz w:val="24"/>
        </w:rPr>
        <w:t>Name two reasons a detection rule may create false positives.</w:t>
      </w:r>
    </w:p>
    <w:p>
      <w:pPr>
        <w:pStyle w:val="ListNumber"/>
        <w:spacing w:after="50"/>
        <w:ind w:left="317" w:hanging="202"/>
      </w:pPr>
      <w:r>
        <w:rPr>
          <w:rFonts w:ascii="Z003" w:hAnsi="Z003" w:eastAsia="Z003" w:cs="Z003"/>
          <w:b w:val="0"/>
          <w:i/>
          <w:color w:val="17477A"/>
          <w:sz w:val="24"/>
        </w:rPr>
        <w:t>What information belongs in a case summary besides the final decision?</w:t>
      </w:r>
    </w:p>
    <w:p>
      <w:pPr>
        <w:pStyle w:val="Heading2"/>
        <w:keepNext/>
      </w:pPr>
      <w:r>
        <w:rPr>
          <w:rFonts w:ascii="Z003" w:hAnsi="Z003" w:eastAsia="Z003" w:cs="Z003"/>
          <w:b/>
          <w:i w:val="0"/>
          <w:color w:val="B45137"/>
          <w:sz w:val="31"/>
        </w:rPr>
        <w:t>Answer check</w:t>
      </w:r>
    </w:p>
    <w:p>
      <w:pPr>
        <w:pStyle w:val="ListBullet"/>
        <w:spacing w:after="50" w:line="245" w:lineRule="auto"/>
        <w:ind w:left="317" w:hanging="202"/>
      </w:pPr>
      <w:r>
        <w:rPr>
          <w:rFonts w:ascii="Z003" w:hAnsi="Z003" w:eastAsia="Z003" w:cs="Z003"/>
          <w:b w:val="0"/>
          <w:i/>
          <w:color w:val="17477A"/>
          <w:sz w:val="24"/>
        </w:rPr>
        <w:t>An event is a recorded action; an alert is a pattern flagged for review; an incident is a tracked case with related evidence and actions.</w:t>
      </w:r>
    </w:p>
    <w:p>
      <w:pPr>
        <w:pStyle w:val="ListBullet"/>
        <w:spacing w:after="50" w:line="245" w:lineRule="auto"/>
        <w:ind w:left="317" w:hanging="202"/>
      </w:pPr>
      <w:r>
        <w:rPr>
          <w:rFonts w:ascii="Z003" w:hAnsi="Z003" w:eastAsia="Z003" w:cs="Z003"/>
          <w:b w:val="0"/>
          <w:i/>
          <w:color w:val="17477A"/>
          <w:sz w:val="24"/>
        </w:rPr>
        <w:t>Examples: timestamp/timezone, host, user, event ID/type, result, source/destination, process, collection source.</w:t>
      </w:r>
    </w:p>
    <w:p>
      <w:pPr>
        <w:pStyle w:val="ListBullet"/>
        <w:spacing w:after="50" w:line="245" w:lineRule="auto"/>
        <w:ind w:left="317" w:hanging="202"/>
      </w:pPr>
      <w:r>
        <w:rPr>
          <w:rFonts w:ascii="Z003" w:hAnsi="Z003" w:eastAsia="Z003" w:cs="Z003"/>
          <w:b w:val="0"/>
          <w:i/>
          <w:color w:val="17477A"/>
          <w:sz w:val="24"/>
        </w:rPr>
        <w:t>Both a forgotten password and credential misuse can produce this pattern. Context, MFA, baseline, and follow-on activity help distinguish them.</w:t>
      </w:r>
    </w:p>
    <w:p>
      <w:pPr>
        <w:pStyle w:val="ListBullet"/>
        <w:spacing w:after="50" w:line="245" w:lineRule="auto"/>
        <w:ind w:left="317" w:hanging="202"/>
      </w:pPr>
      <w:r>
        <w:rPr>
          <w:rFonts w:ascii="Z003" w:hAnsi="Z003" w:eastAsia="Z003" w:cs="Z003"/>
          <w:b w:val="0"/>
          <w:i/>
          <w:color w:val="17477A"/>
          <w:sz w:val="24"/>
        </w:rPr>
        <w:t>Precision = TP/(TP+FP). Recall = TP/(TP+FN).</w:t>
      </w:r>
    </w:p>
    <w:p>
      <w:pPr>
        <w:pStyle w:val="ListBullet"/>
        <w:spacing w:after="50" w:line="245" w:lineRule="auto"/>
        <w:ind w:left="317" w:hanging="202"/>
      </w:pPr>
      <w:r>
        <w:rPr>
          <w:rFonts w:ascii="Z003" w:hAnsi="Z003" w:eastAsia="Z003" w:cs="Z003"/>
          <w:b w:val="0"/>
          <w:i/>
          <w:color w:val="17477A"/>
          <w:sz w:val="24"/>
        </w:rPr>
        <w:t>A hypothesis is a testable question; a conclusion is a finding supported by the available evidence.</w:t>
      </w:r>
    </w:p>
    <w:p>
      <w:pPr>
        <w:pStyle w:val="ListBullet"/>
        <w:spacing w:after="50" w:line="245" w:lineRule="auto"/>
        <w:ind w:left="317" w:hanging="202"/>
      </w:pPr>
      <w:r>
        <w:rPr>
          <w:rFonts w:ascii="Z003" w:hAnsi="Z003" w:eastAsia="Z003" w:cs="Z003"/>
          <w:b w:val="0"/>
          <w:i/>
          <w:color w:val="17477A"/>
          <w:sz w:val="24"/>
        </w:rPr>
        <w:t>Examples: expected admin jobs, an unrealistic threshold, missing context, overly broad fields, or an incomplete baseline.</w:t>
      </w:r>
    </w:p>
    <w:p>
      <w:pPr>
        <w:pStyle w:val="ListBullet"/>
        <w:spacing w:after="50" w:line="245" w:lineRule="auto"/>
        <w:ind w:left="317" w:hanging="202"/>
      </w:pPr>
      <w:r>
        <w:rPr>
          <w:rFonts w:ascii="Z003" w:hAnsi="Z003" w:eastAsia="Z003" w:cs="Z003"/>
          <w:b w:val="0"/>
          <w:i/>
          <w:color w:val="17477A"/>
          <w:sz w:val="24"/>
        </w:rPr>
        <w:t>Scope, evidence references, timestamps, reasoning, alternatives, unknowns, limitations, approved actions, and next owner.</w:t>
      </w:r>
    </w:p>
    <w:p>
      <w:pPr>
        <w:pStyle w:val="Heading1"/>
        <w:keepNext/>
      </w:pPr>
      <w:r>
        <w:rPr>
          <w:rFonts w:ascii="Z003" w:hAnsi="Z003" w:eastAsia="Z003" w:cs="Z003"/>
          <w:b/>
          <w:i w:val="0"/>
          <w:color w:val="17477A"/>
          <w:sz w:val="40"/>
        </w:rPr>
        <w:t>Quick-glossary</w:t>
      </w:r>
    </w:p>
    <w:p>
      <w:r>
        <w:rPr>
          <w:rFonts w:ascii="Z003" w:hAnsi="Z003" w:eastAsia="Z003" w:cs="Z003"/>
          <w:b w:val="0"/>
          <w:i/>
          <w:color w:val="17477A"/>
          <w:sz w:val="24"/>
        </w:rPr>
        <w:t>Use this as a lookup page. You do not need to memorise every term on the first day.</w:t>
      </w:r>
    </w:p>
    <w:tbl>
      <w:tblPr>
        <w:tblW w:type="auto" w:w="0"/>
        <w:jc w:val="center"/>
        <w:tblLayout w:type="autofit"/>
        <w:tblLook w:firstColumn="1" w:firstRow="1" w:lastColumn="0" w:lastRow="0" w:noHBand="0" w:noVBand="1" w:val="04A0"/>
      </w:tblPr>
      <w:tblGrid>
        <w:gridCol w:w="2232"/>
        <w:gridCol w:w="7056"/>
      </w:tblGrid>
      <w:tr>
        <w:trPr>
          <w:tblHeader w:val="true"/>
        </w:trPr>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Word</w:t>
            </w:r>
          </w:p>
        </w:tc>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Plain-language meaning</w:t>
            </w:r>
          </w:p>
        </w:tc>
      </w:tr>
      <w:tr>
        <w:tc>
          <w:tcPr>
            <w:tcW w:type="dxa" w:w="22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Agent / collector</w:t>
            </w:r>
          </w:p>
        </w:tc>
        <w:tc>
          <w:tcPr>
            <w:tcW w:type="dxa" w:w="70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component that gathers and forwards records.</w:t>
            </w:r>
          </w:p>
        </w:tc>
      </w:tr>
      <w:tr>
        <w:tc>
          <w:tcPr>
            <w:tcW w:type="dxa" w:w="22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Alert fatigue</w:t>
            </w:r>
          </w:p>
        </w:tc>
        <w:tc>
          <w:tcPr>
            <w:tcW w:type="dxa" w:w="70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When too many low-value alerts make important ones harder to notice.</w:t>
            </w:r>
          </w:p>
        </w:tc>
      </w:tr>
      <w:tr>
        <w:tc>
          <w:tcPr>
            <w:tcW w:type="dxa" w:w="22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Correlation</w:t>
            </w:r>
          </w:p>
        </w:tc>
        <w:tc>
          <w:tcPr>
            <w:tcW w:type="dxa" w:w="70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Connecting related records by time, identity, host, or other fields.</w:t>
            </w:r>
          </w:p>
        </w:tc>
      </w:tr>
      <w:tr>
        <w:tc>
          <w:tcPr>
            <w:tcW w:type="dxa" w:w="22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Detection logic</w:t>
            </w:r>
          </w:p>
        </w:tc>
        <w:tc>
          <w:tcPr>
            <w:tcW w:type="dxa" w:w="70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The conditions a rule uses to flag a pattern.</w:t>
            </w:r>
          </w:p>
        </w:tc>
      </w:tr>
      <w:tr>
        <w:tc>
          <w:tcPr>
            <w:tcW w:type="dxa" w:w="22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False positive</w:t>
            </w:r>
          </w:p>
        </w:tc>
        <w:tc>
          <w:tcPr>
            <w:tcW w:type="dxa" w:w="70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benign case that was incorrectly flagged.</w:t>
            </w:r>
          </w:p>
        </w:tc>
      </w:tr>
      <w:tr>
        <w:tc>
          <w:tcPr>
            <w:tcW w:type="dxa" w:w="22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False negative</w:t>
            </w:r>
          </w:p>
        </w:tc>
        <w:tc>
          <w:tcPr>
            <w:tcW w:type="dxa" w:w="70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suspicious case that was missed.</w:t>
            </w:r>
          </w:p>
        </w:tc>
      </w:tr>
      <w:tr>
        <w:tc>
          <w:tcPr>
            <w:tcW w:type="dxa" w:w="22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IOC</w:t>
            </w:r>
          </w:p>
        </w:tc>
        <w:tc>
          <w:tcPr>
            <w:tcW w:type="dxa" w:w="70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Indicator of compromise; a clue that may relate to harmful activity.</w:t>
            </w:r>
          </w:p>
        </w:tc>
      </w:tr>
      <w:tr>
        <w:tc>
          <w:tcPr>
            <w:tcW w:type="dxa" w:w="22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SIEM</w:t>
            </w:r>
          </w:p>
        </w:tc>
        <w:tc>
          <w:tcPr>
            <w:tcW w:type="dxa" w:w="70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Platform for collecting, searching, and correlating security event data.</w:t>
            </w:r>
          </w:p>
        </w:tc>
      </w:tr>
      <w:tr>
        <w:tc>
          <w:tcPr>
            <w:tcW w:type="dxa" w:w="22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Telemetry</w:t>
            </w:r>
          </w:p>
        </w:tc>
        <w:tc>
          <w:tcPr>
            <w:tcW w:type="dxa" w:w="70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Records and measurements produced by systems and services.</w:t>
            </w:r>
          </w:p>
        </w:tc>
      </w:tr>
      <w:tr>
        <w:tc>
          <w:tcPr>
            <w:tcW w:type="dxa" w:w="22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Triage</w:t>
            </w:r>
          </w:p>
        </w:tc>
        <w:tc>
          <w:tcPr>
            <w:tcW w:type="dxa" w:w="70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The first structured review that decides what needs attention next.</w:t>
            </w:r>
          </w:p>
        </w:tc>
      </w:tr>
    </w:tbl>
    <w:p/>
    <w:p>
      <w:pPr>
        <w:pStyle w:val="Heading1"/>
        <w:keepNext/>
      </w:pPr>
      <w:r>
        <w:rPr>
          <w:rFonts w:ascii="Z003" w:hAnsi="Z003" w:eastAsia="Z003" w:cs="Z003"/>
          <w:b/>
          <w:i w:val="0"/>
          <w:color w:val="17477A"/>
          <w:sz w:val="40"/>
        </w:rPr>
        <w:t>Trusted references &amp; further study</w:t>
      </w:r>
    </w:p>
    <w:p>
      <w:pPr>
        <w:keepLines/>
        <w:spacing w:before="140" w:after="100"/>
      </w:pPr>
      <w:r>
        <w:rPr>
          <w:rFonts w:ascii="Z003" w:hAnsi="Z003" w:cs="Z003" w:eastAsia="Z003"/>
          <w:b w:val="0"/>
          <w:i/>
          <w:color w:val="267C75"/>
          <w:sz w:val="24"/>
        </w:rPr>
        <w:t>FIELD NOTE • A good analyst can say “I do not know yet.” Record the source, timestamp and timezone, the exact observation, an alternative explanation, and the next evidence needed. Keep original evidence unchanged and follow the authorised case process.</w:t>
      </w:r>
    </w:p>
    <w:p>
      <w:r>
        <w:rPr>
          <w:rFonts w:ascii="Z003" w:hAnsi="Z003" w:eastAsia="Z003" w:cs="Z003"/>
          <w:b w:val="0"/>
          <w:i/>
          <w:color w:val="17477A"/>
          <w:sz w:val="24"/>
        </w:rPr>
        <w:t>These notes simplify the ideas for learning. For exact definitions, implementation details, and updated guidance, return to the original publisher.</w:t>
      </w:r>
    </w:p>
    <w:p>
      <w:pPr>
        <w:spacing w:after="60"/>
      </w:pPr>
      <w:r>
        <w:rPr>
          <w:rFonts w:ascii="Z003" w:hAnsi="Z003" w:eastAsia="Z003" w:cs="Z003"/>
          <w:b/>
          <w:i/>
          <w:color w:val="17477A"/>
          <w:sz w:val="24"/>
        </w:rPr>
        <w:t xml:space="preserve">SP 800-61 Rev. 3: Incident Response Recommendations — NIST. </w:t>
      </w:r>
      <w:r>
        <w:rPr>
          <w:rFonts w:ascii="Z003" w:hAnsi="Z003" w:eastAsia="Z003" w:cs="Z003"/>
          <w:b w:val="0"/>
          <w:i/>
          <w:color w:val="17477A"/>
          <w:sz w:val="24"/>
        </w:rPr>
        <w:t>Current high-level guidance for preparing for, detecting, responding to, and recovering from incidents.</w:t>
        <w:br/>
      </w:r>
      <w:r>
        <w:rPr>
          <w:rFonts w:ascii="Z003" w:hAnsi="Z003" w:eastAsia="Z003" w:cs="Z003"/>
          <w:b w:val="0"/>
          <w:i/>
          <w:color w:val="17477A"/>
          <w:sz w:val="24"/>
        </w:rPr>
        <w:t>https://csrc.nist.gov/pubs/sp/800/61/r3/final</w:t>
      </w:r>
    </w:p>
    <w:p>
      <w:pPr>
        <w:spacing w:after="60"/>
      </w:pPr>
      <w:r>
        <w:rPr>
          <w:rFonts w:ascii="Z003" w:hAnsi="Z003" w:eastAsia="Z003" w:cs="Z003"/>
          <w:b/>
          <w:i/>
          <w:color w:val="17477A"/>
          <w:sz w:val="24"/>
        </w:rPr>
        <w:t xml:space="preserve">SP 800-86: Guide to Integrating Forensic Techniques into Incident Response — NIST. </w:t>
      </w:r>
      <w:r>
        <w:rPr>
          <w:rFonts w:ascii="Z003" w:hAnsi="Z003" w:eastAsia="Z003" w:cs="Z003"/>
          <w:b w:val="0"/>
          <w:i/>
          <w:color w:val="17477A"/>
          <w:sz w:val="24"/>
        </w:rPr>
        <w:t>Evidence-aware incident investigation and forensic concepts.</w:t>
        <w:br/>
      </w:r>
      <w:r>
        <w:rPr>
          <w:rFonts w:ascii="Z003" w:hAnsi="Z003" w:eastAsia="Z003" w:cs="Z003"/>
          <w:b w:val="0"/>
          <w:i/>
          <w:color w:val="17477A"/>
          <w:sz w:val="24"/>
        </w:rPr>
        <w:t>https://csrc.nist.gov/pubs/sp/800/86/final</w:t>
      </w:r>
    </w:p>
    <w:p>
      <w:pPr>
        <w:spacing w:after="60"/>
      </w:pPr>
      <w:r>
        <w:rPr>
          <w:rFonts w:ascii="Z003" w:hAnsi="Z003" w:eastAsia="Z003" w:cs="Z003"/>
          <w:b/>
          <w:i/>
          <w:color w:val="17477A"/>
          <w:sz w:val="24"/>
        </w:rPr>
        <w:t xml:space="preserve">MITRE ATT&amp;CK Enterprise Matrix — MITRE. </w:t>
      </w:r>
      <w:r>
        <w:rPr>
          <w:rFonts w:ascii="Z003" w:hAnsi="Z003" w:eastAsia="Z003" w:cs="Z003"/>
          <w:b w:val="0"/>
          <w:i/>
          <w:color w:val="17477A"/>
          <w:sz w:val="24"/>
        </w:rPr>
        <w:t>A knowledge base of observed adversary behaviours and defensive mappings.</w:t>
        <w:br/>
      </w:r>
      <w:r>
        <w:rPr>
          <w:rFonts w:ascii="Z003" w:hAnsi="Z003" w:eastAsia="Z003" w:cs="Z003"/>
          <w:b w:val="0"/>
          <w:i/>
          <w:color w:val="17477A"/>
          <w:sz w:val="24"/>
        </w:rPr>
        <w:t>https://attack.mitre.org/matrices/enterprise/</w:t>
      </w:r>
    </w:p>
    <w:p>
      <w:pPr>
        <w:spacing w:after="60"/>
      </w:pPr>
      <w:r>
        <w:rPr>
          <w:rFonts w:ascii="Z003" w:hAnsi="Z003" w:eastAsia="Z003" w:cs="Z003"/>
          <w:b/>
          <w:i/>
          <w:color w:val="17477A"/>
          <w:sz w:val="24"/>
        </w:rPr>
        <w:t xml:space="preserve">Wazuh Getting Started — Wazuh. </w:t>
      </w:r>
      <w:r>
        <w:rPr>
          <w:rFonts w:ascii="Z003" w:hAnsi="Z003" w:eastAsia="Z003" w:cs="Z003"/>
          <w:b w:val="0"/>
          <w:i/>
          <w:color w:val="17477A"/>
          <w:sz w:val="24"/>
        </w:rPr>
        <w:t>A starting point for endpoint events, agents, rules, and alerts.</w:t>
        <w:br/>
      </w:r>
      <w:r>
        <w:rPr>
          <w:rFonts w:ascii="Z003" w:hAnsi="Z003" w:eastAsia="Z003" w:cs="Z003"/>
          <w:b w:val="0"/>
          <w:i/>
          <w:color w:val="17477A"/>
          <w:sz w:val="24"/>
        </w:rPr>
        <w:t>https://documentation.wazuh.com/current/getting-started/index.html</w:t>
      </w:r>
    </w:p>
    <w:p>
      <w:pPr>
        <w:spacing w:after="60"/>
      </w:pPr>
      <w:r>
        <w:rPr>
          <w:rFonts w:ascii="Z003" w:hAnsi="Z003" w:eastAsia="Z003" w:cs="Z003"/>
          <w:b/>
          <w:i/>
          <w:color w:val="17477A"/>
          <w:sz w:val="24"/>
        </w:rPr>
        <w:t xml:space="preserve">Splunk Free Courses — Splunk. </w:t>
      </w:r>
      <w:r>
        <w:rPr>
          <w:rFonts w:ascii="Z003" w:hAnsi="Z003" w:eastAsia="Z003" w:cs="Z003"/>
          <w:b w:val="0"/>
          <w:i/>
          <w:color w:val="17477A"/>
          <w:sz w:val="24"/>
        </w:rPr>
        <w:t>Guided learning for searches, fields, and dashboards.</w:t>
        <w:br/>
      </w:r>
      <w:r>
        <w:rPr>
          <w:rFonts w:ascii="Z003" w:hAnsi="Z003" w:eastAsia="Z003" w:cs="Z003"/>
          <w:b w:val="0"/>
          <w:i/>
          <w:color w:val="17477A"/>
          <w:sz w:val="24"/>
        </w:rPr>
        <w:t>https://www.splunk.com/en_us/training/free-courses/overview.html</w:t>
      </w:r>
    </w:p>
    <w:p>
      <w:pPr>
        <w:spacing w:after="60"/>
      </w:pPr>
      <w:r>
        <w:rPr>
          <w:rFonts w:ascii="Z003" w:hAnsi="Z003" w:eastAsia="Z003" w:cs="Z003"/>
          <w:b/>
          <w:i/>
          <w:color w:val="17477A"/>
          <w:sz w:val="24"/>
        </w:rPr>
        <w:t xml:space="preserve">Windows process creation auditing — Microsoft Learn. </w:t>
      </w:r>
      <w:r>
        <w:rPr>
          <w:rFonts w:ascii="Z003" w:hAnsi="Z003" w:eastAsia="Z003" w:cs="Z003"/>
          <w:b w:val="0"/>
          <w:i/>
          <w:color w:val="17477A"/>
          <w:sz w:val="24"/>
        </w:rPr>
        <w:t>Learn what process-creation audit events can record and the configuration caveats.</w:t>
        <w:br/>
      </w:r>
      <w:r>
        <w:rPr>
          <w:rFonts w:ascii="Z003" w:hAnsi="Z003" w:eastAsia="Z003" w:cs="Z003"/>
          <w:b w:val="0"/>
          <w:i/>
          <w:color w:val="17477A"/>
          <w:sz w:val="24"/>
        </w:rPr>
        <w:t>https://learn.microsoft.com/en-us/windows/security/threat-protection/auditing/basic-audit-process-creation</w:t>
      </w:r>
    </w:p>
    <w:tbl>
      <w:tblPr>
        <w:tblW w:type="auto" w:w="0"/>
        <w:jc w:val="center"/>
        <w:tblLayout w:type="autofit"/>
        <w:tblLook w:firstColumn="1" w:firstRow="1" w:lastColumn="0" w:lastRow="0" w:noHBand="0" w:noVBand="1" w:val="04A0"/>
      </w:tblPr>
      <w:tblGrid>
        <w:gridCol w:w="9576"/>
      </w:tblGrid>
      <w:tr>
        <w:tc>
          <w:tcPr>
            <w:tcW w:type="dxa" w:w="9576"/>
            <w:shd w:fill="E5F5EC"/>
            <w:tcBorders>
              <w:top w:val="nil"/>
              <w:left w:val="single" w:sz="18" w:color="237C6D"/>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KEEP LEARNING  </w:t>
            </w:r>
            <w:r>
              <w:rPr>
                <w:rFonts w:ascii="Comic Neue" w:hAnsi="Comic Neue" w:eastAsia="Comic Neue" w:cs="Comic Neue"/>
                <w:b w:val="0"/>
                <w:i/>
                <w:color w:val="17477A"/>
                <w:sz w:val="18"/>
              </w:rPr>
              <w:t>A good analyst does not copy a tool output and call it truth. They record what they observed, why it matters, what else could explain it, and what should happen next.</w:t>
            </w:r>
          </w:p>
        </w:tc>
      </w:tr>
    </w:tbl>
    <w:p>
      <w:pPr>
        <w:spacing w:after="20" w:line="144" w:lineRule="auto"/>
      </w:pPr>
    </w:p>
    <w:p>
      <w:pPr>
        <w:pageBreakBefore/>
        <w:spacing w:before="0" w:after="20" w:line="240" w:lineRule="auto"/>
        <w:jc w:val="right"/>
      </w:pPr>
      <w:r>
        <w:rPr>
          <w:rFonts w:ascii="Comic Neue" w:hAnsi="Comic Neue" w:eastAsia="Comic Neue"/>
          <w:b/>
          <w:i/>
          <w:color w:val="688097"/>
          <w:sz w:val="15"/>
        </w:rPr>
        <w:t>OPENCYBERPATH FIELD NOTEBOOK - MATCHED EXTERNAL PRACTICE</w:t>
      </w:r>
    </w:p>
    <w:p>
      <w:pPr>
        <w:keepNext/>
        <w:spacing w:before="100" w:after="80" w:line="240" w:lineRule="auto"/>
      </w:pPr>
      <w:r>
        <w:rPr>
          <w:rFonts w:ascii="Comic Neue" w:hAnsi="Comic Neue" w:eastAsia="Comic Neue"/>
          <w:b/>
          <w:i/>
          <w:color w:val="087F8C"/>
          <w:sz w:val="34"/>
        </w:rPr>
        <w:t>A real lab for these notes</w:t>
      </w:r>
    </w:p>
    <w:p>
      <w:pPr>
        <w:spacing w:before="0" w:after="80" w:line="240" w:lineRule="auto"/>
      </w:pPr>
      <w:r>
        <w:rPr>
          <w:rFonts w:ascii="Comic Neue" w:hAnsi="Comic Neue" w:eastAsia="Comic Neue"/>
          <w:b w:val="0"/>
          <w:i w:val="0"/>
          <w:color w:val="24344D"/>
          <w:sz w:val="20"/>
        </w:rPr>
        <w:t>Topic: SOC triage, SIEM search, and event correlation. These pages connect the existing OpenCyberPath notes to specific provider-hosted exercises. The card label is intentionally generic; the exact task name and direct URL are listed here so you can open the right exercise instead of a whole catalogue.</w:t>
      </w:r>
    </w:p>
    <w:p>
      <w:pPr>
        <w:keepNext/>
        <w:spacing w:before="40" w:after="80" w:line="240" w:lineRule="auto"/>
      </w:pPr>
      <w:r>
        <w:rPr>
          <w:rFonts w:ascii="Comic Neue" w:hAnsi="Comic Neue" w:eastAsia="Comic Neue"/>
          <w:b/>
          <w:i/>
          <w:color w:val="B34778"/>
          <w:sz w:val="25"/>
        </w:rPr>
        <w:t>Concept checkpoints</w:t>
      </w:r>
    </w:p>
    <w:p>
      <w:pPr>
        <w:pStyle w:val="ListBullet"/>
        <w:spacing w:before="0" w:after="40" w:line="240" w:lineRule="auto"/>
      </w:pPr>
      <w:r>
        <w:rPr>
          <w:rFonts w:ascii="Comic Neue" w:hAnsi="Comic Neue" w:eastAsia="Comic Neue"/>
          <w:b w:val="0"/>
          <w:i w:val="0"/>
          <w:color w:val="283A50"/>
          <w:sz w:val="19"/>
        </w:rPr>
        <w:t>Tell event, alert, incident, and case apart.</w:t>
      </w:r>
    </w:p>
    <w:p>
      <w:pPr>
        <w:pStyle w:val="ListBullet"/>
        <w:spacing w:before="0" w:after="40" w:line="240" w:lineRule="auto"/>
      </w:pPr>
      <w:r>
        <w:rPr>
          <w:rFonts w:ascii="Comic Neue" w:hAnsi="Comic Neue" w:eastAsia="Comic Neue"/>
          <w:b w:val="0"/>
          <w:i w:val="0"/>
          <w:color w:val="283A50"/>
          <w:sz w:val="19"/>
        </w:rPr>
        <w:t>Identify log source, timestamp, host, user, event, result, and outcome.</w:t>
      </w:r>
    </w:p>
    <w:p>
      <w:pPr>
        <w:pStyle w:val="ListBullet"/>
        <w:spacing w:before="0" w:after="40" w:line="240" w:lineRule="auto"/>
      </w:pPr>
      <w:r>
        <w:rPr>
          <w:rFonts w:ascii="Comic Neue" w:hAnsi="Comic Neue" w:eastAsia="Comic Neue"/>
          <w:b w:val="0"/>
          <w:i w:val="0"/>
          <w:color w:val="283A50"/>
          <w:sz w:val="19"/>
        </w:rPr>
        <w:t>Search first, filter second, then compare a pattern with a baseline.</w:t>
      </w:r>
    </w:p>
    <w:p>
      <w:pPr>
        <w:pStyle w:val="ListBullet"/>
        <w:spacing w:before="0" w:after="40" w:line="240" w:lineRule="auto"/>
      </w:pPr>
      <w:r>
        <w:rPr>
          <w:rFonts w:ascii="Comic Neue" w:hAnsi="Comic Neue" w:eastAsia="Comic Neue"/>
          <w:b w:val="0"/>
          <w:i w:val="0"/>
          <w:color w:val="283A50"/>
          <w:sz w:val="19"/>
        </w:rPr>
        <w:t>Document what was observed and what remains unknown.</w:t>
      </w:r>
    </w:p>
    <w:p>
      <w:pPr>
        <w:keepNext/>
        <w:spacing w:before="0" w:after="0" w:line="240" w:lineRule="auto"/>
      </w:pPr>
      <w:r>
        <w:rPr>
          <w:rFonts w:ascii="Comic Neue" w:hAnsi="Comic Neue" w:eastAsia="Comic Neue"/>
          <w:b/>
          <w:i w:val="0"/>
          <w:color w:val="213A58"/>
          <w:sz w:val="20"/>
        </w:rPr>
        <w:t xml:space="preserve">Log Analysis with SIEM  </w:t>
      </w:r>
      <w:r>
        <w:rPr>
          <w:rFonts w:ascii="Comic Neue" w:hAnsi="Comic Neue" w:eastAsia="Comic Neue"/>
          <w:b w:val="0"/>
          <w:i/>
          <w:color w:val="007B89"/>
          <w:sz w:val="17"/>
        </w:rPr>
        <w:t>[TryHackMe]</w:t>
      </w:r>
    </w:p>
    <w:p>
      <w:pPr>
        <w:spacing w:before="0" w:after="20" w:line="240" w:lineRule="auto"/>
      </w:pPr>
      <w:hyperlink r:id="rId16">
        <w:r>
          <w:rPr>
            <w:color w:val="1465A8"/>
            <w:u w:val="single"/>
            <w:rFonts w:ascii="DejaVu Sans Mono" w:hAnsi="DejaVu Sans Mono" w:eastAsia="DejaVu Sans Mono"/>
            <w:sz w:val="15"/>
          </w:rPr>
          <w:t>https://tryhackme.com/room/loganalysiswithsiem</w:t>
        </w:r>
      </w:hyperlink>
    </w:p>
    <w:p>
      <w:pPr>
        <w:spacing w:before="0" w:after="60" w:line="240" w:lineRule="auto"/>
      </w:pPr>
      <w:r>
        <w:rPr>
          <w:rFonts w:ascii="Comic Neue" w:hAnsi="Comic Neue" w:eastAsia="Comic Neue"/>
          <w:b w:val="0"/>
          <w:i/>
          <w:color w:val="5E6D7E"/>
          <w:sz w:val="17"/>
        </w:rPr>
        <w:t>Access note: Sign-in required; room access and the lab machine entitlement can vary. The page includes a deployable training machine.</w:t>
      </w:r>
    </w:p>
    <w:p>
      <w:pPr>
        <w:keepNext/>
        <w:spacing w:before="0" w:after="0" w:line="240" w:lineRule="auto"/>
      </w:pPr>
      <w:r>
        <w:rPr>
          <w:rFonts w:ascii="Comic Neue" w:hAnsi="Comic Neue" w:eastAsia="Comic Neue"/>
          <w:b/>
          <w:i w:val="0"/>
          <w:color w:val="213A58"/>
          <w:sz w:val="20"/>
        </w:rPr>
        <w:t xml:space="preserve">Splunk: Exploring SPL  </w:t>
      </w:r>
      <w:r>
        <w:rPr>
          <w:rFonts w:ascii="Comic Neue" w:hAnsi="Comic Neue" w:eastAsia="Comic Neue"/>
          <w:b w:val="0"/>
          <w:i/>
          <w:color w:val="007B89"/>
          <w:sz w:val="17"/>
        </w:rPr>
        <w:t>[TryHackMe]</w:t>
      </w:r>
    </w:p>
    <w:p>
      <w:pPr>
        <w:spacing w:before="0" w:after="20" w:line="240" w:lineRule="auto"/>
      </w:pPr>
      <w:hyperlink r:id="rId17">
        <w:r>
          <w:rPr>
            <w:color w:val="1465A8"/>
            <w:u w:val="single"/>
            <w:rFonts w:ascii="DejaVu Sans Mono" w:hAnsi="DejaVu Sans Mono" w:eastAsia="DejaVu Sans Mono"/>
            <w:sz w:val="15"/>
          </w:rPr>
          <w:t>https://tryhackme.com/room/splunkexploringspl</w:t>
        </w:r>
      </w:hyperlink>
    </w:p>
    <w:p>
      <w:pPr>
        <w:spacing w:before="0" w:after="60" w:line="240" w:lineRule="auto"/>
      </w:pPr>
      <w:r>
        <w:rPr>
          <w:rFonts w:ascii="Comic Neue" w:hAnsi="Comic Neue" w:eastAsia="Comic Neue"/>
          <w:b w:val="0"/>
          <w:i/>
          <w:color w:val="5E6D7E"/>
          <w:sz w:val="17"/>
        </w:rPr>
        <w:t>Access note: Sign-in required; verify current room access before starting. Use the room-provided dataset and Splunk instance.</w:t>
      </w:r>
    </w:p>
    <w:tbl>
      <w:tblPr>
        <w:tblW w:type="auto" w:w="0"/>
        <w:jc w:val="center"/>
        <w:tblLayout w:type="autofit"/>
        <w:tblLook w:firstColumn="1" w:firstRow="1" w:lastColumn="0" w:lastRow="0" w:noHBand="0" w:noVBand="1" w:val="04A0"/>
      </w:tblPr>
      <w:tblGrid>
        <w:gridCol w:w="9576"/>
      </w:tblGrid>
      <w:tr>
        <w:tc>
          <w:tcPr>
            <w:tcW w:type="dxa" w:w="9576"/>
            <w:shd w:fill="DDF4F2"/>
            <w:tcMar>
              <w:top w:w="90" w:type="dxa"/>
              <w:start w:w="150" w:type="dxa"/>
              <w:bottom w:w="90" w:type="dxa"/>
              <w:end w:w="150" w:type="dxa"/>
            </w:tcMar>
          </w:tcPr>
          <w:p>
            <w:pPr>
              <w:spacing w:before="0" w:after="0" w:line="240" w:lineRule="auto"/>
            </w:pPr>
            <w:r>
              <w:rPr>
                <w:rFonts w:ascii="Comic Neue" w:hAnsi="Comic Neue" w:eastAsia="Comic Neue"/>
                <w:b/>
                <w:i/>
                <w:color w:val="087F8C"/>
                <w:sz w:val="18"/>
              </w:rPr>
              <w:t xml:space="preserve">ACCESS CHECK  </w:t>
            </w:r>
            <w:r>
              <w:rPr>
                <w:rFonts w:ascii="Comic Neue" w:hAnsi="Comic Neue" w:eastAsia="Comic Neue"/>
                <w:b w:val="0"/>
                <w:i w:val="0"/>
                <w:color w:val="2F3E50"/>
                <w:sz w:val="18"/>
              </w:rPr>
              <w:t>Open the exact task page and verify the current login, account tier, VM launch button, free/paid terms, and any cost notes before starting. A provider may change availability or retire a challenge.</w:t>
            </w:r>
          </w:p>
        </w:tc>
      </w:tr>
    </w:tbl>
    <w:p>
      <w:pPr>
        <w:spacing w:after="0"/>
      </w:pPr>
    </w:p>
    <w:p>
      <w:pPr>
        <w:keepNext/>
        <w:spacing w:before="40" w:after="80" w:line="240" w:lineRule="auto"/>
      </w:pPr>
      <w:r>
        <w:rPr>
          <w:rFonts w:ascii="Comic Neue" w:hAnsi="Comic Neue" w:eastAsia="Comic Neue"/>
          <w:b/>
          <w:i/>
          <w:color w:val="B34778"/>
          <w:sz w:val="25"/>
        </w:rPr>
        <w:t>Before you click Start</w:t>
      </w:r>
    </w:p>
    <w:p>
      <w:pPr>
        <w:pStyle w:val="ListBullet"/>
        <w:spacing w:before="0" w:after="40" w:line="240" w:lineRule="auto"/>
      </w:pPr>
      <w:r>
        <w:rPr>
          <w:rFonts w:ascii="Comic Neue" w:hAnsi="Comic Neue" w:eastAsia="Comic Neue"/>
          <w:b w:val="0"/>
          <w:i w:val="0"/>
          <w:color w:val="283A50"/>
          <w:sz w:val="19"/>
        </w:rPr>
        <w:t>Write down the provider’s target/scope and use only the instance it creates for you.</w:t>
      </w:r>
    </w:p>
    <w:p>
      <w:pPr>
        <w:pStyle w:val="ListBullet"/>
        <w:spacing w:before="0" w:after="40" w:line="240" w:lineRule="auto"/>
      </w:pPr>
      <w:r>
        <w:rPr>
          <w:rFonts w:ascii="Comic Neue" w:hAnsi="Comic Neue" w:eastAsia="Comic Neue"/>
          <w:b w:val="0"/>
          <w:i w:val="0"/>
          <w:color w:val="283A50"/>
          <w:sz w:val="19"/>
        </w:rPr>
        <w:t>Keep this notebook beside the exercise. Use its original course data before trying commands on a local machine.</w:t>
      </w:r>
    </w:p>
    <w:p>
      <w:pPr>
        <w:pStyle w:val="ListBullet"/>
        <w:spacing w:before="0" w:after="40" w:line="240" w:lineRule="auto"/>
      </w:pPr>
      <w:r>
        <w:rPr>
          <w:rFonts w:ascii="Comic Neue" w:hAnsi="Comic Neue" w:eastAsia="Comic Neue"/>
          <w:b w:val="0"/>
          <w:i w:val="0"/>
          <w:color w:val="283A50"/>
          <w:sz w:val="19"/>
        </w:rPr>
        <w:t>Capture timestamps, filenames, row/packet IDs, and a short explanation; redact credentials, tokens, and personal data.</w:t>
      </w:r>
    </w:p>
    <w:p>
      <w:pPr>
        <w:pStyle w:val="ListBullet"/>
        <w:spacing w:before="0" w:after="40" w:line="240" w:lineRule="auto"/>
      </w:pPr>
      <w:r>
        <w:rPr>
          <w:rFonts w:ascii="Comic Neue" w:hAnsi="Comic Neue" w:eastAsia="Comic Neue"/>
          <w:b w:val="0"/>
          <w:i w:val="0"/>
          <w:color w:val="283A50"/>
          <w:sz w:val="19"/>
        </w:rPr>
        <w:t>If a page says retired, premium, or downloadable-only, use the alternative listed in the access note or return to the matching interactive lab above.</w:t>
      </w:r>
    </w:p>
    <w:p>
      <w:pPr>
        <w:pageBreakBefore/>
        <w:spacing w:before="0" w:after="20" w:line="240" w:lineRule="auto"/>
        <w:jc w:val="right"/>
      </w:pPr>
      <w:r>
        <w:rPr>
          <w:rFonts w:ascii="Comic Neue" w:hAnsi="Comic Neue" w:eastAsia="Comic Neue"/>
          <w:b/>
          <w:i/>
          <w:color w:val="688097"/>
          <w:sz w:val="15"/>
        </w:rPr>
        <w:t>COMMAND NOTEBOOK - COPY ONE LINE AT A TIME</w:t>
      </w:r>
    </w:p>
    <w:p>
      <w:pPr>
        <w:keepNext/>
        <w:spacing w:before="100" w:after="80" w:line="240" w:lineRule="auto"/>
      </w:pPr>
      <w:r>
        <w:rPr>
          <w:rFonts w:ascii="Comic Neue" w:hAnsi="Comic Neue" w:eastAsia="Comic Neue"/>
          <w:b/>
          <w:i/>
          <w:color w:val="087F8C"/>
          <w:sz w:val="34"/>
        </w:rPr>
        <w:t>Commands you can explain</w:t>
      </w:r>
    </w:p>
    <w:p>
      <w:pPr>
        <w:spacing w:before="0" w:after="80" w:line="240" w:lineRule="auto"/>
      </w:pPr>
      <w:r>
        <w:rPr>
          <w:rFonts w:ascii="Comic Neue" w:hAnsi="Comic Neue" w:eastAsia="Comic Neue"/>
          <w:b/>
          <w:i w:val="0"/>
          <w:color w:val="8B4E24"/>
          <w:sz w:val="19"/>
        </w:rPr>
        <w:t>Run searches only inside the lab-provided SIEM or against the bundled synthetic CSV. Do not paste these queries into a production SIEM without your organisation's approval.</w:t>
      </w:r>
    </w:p>
    <w:p>
      <w:pPr>
        <w:spacing w:before="0" w:after="100" w:line="240" w:lineRule="auto"/>
      </w:pPr>
      <w:r>
        <w:rPr>
          <w:rFonts w:ascii="Comic Neue" w:hAnsi="Comic Neue" w:eastAsia="Comic Neue"/>
          <w:b w:val="0"/>
          <w:i/>
          <w:color w:val="5A6C7E"/>
          <w:sz w:val="18"/>
        </w:rPr>
        <w:t>First download the matching sample file(s) from the existing card when a command names one. Keep the data in a practice folder and never execute strings stored in evidence.</w:t>
      </w:r>
    </w:p>
    <w:p>
      <w:pPr>
        <w:keepNext/>
        <w:spacing w:before="60" w:after="0" w:line="240" w:lineRule="auto"/>
      </w:pPr>
      <w:r>
        <w:rPr>
          <w:rFonts w:ascii="Comic Neue" w:hAnsi="Comic Neue" w:eastAsia="Comic Neue"/>
          <w:b/>
          <w:i w:val="0"/>
          <w:color w:val="007B89"/>
          <w:sz w:val="16"/>
        </w:rPr>
        <w:t xml:space="preserve">SPLUNK SPL  </w:t>
      </w:r>
    </w:p>
    <w:tbl>
      <w:tblPr>
        <w:tblW w:type="auto" w:w="0"/>
        <w:jc w:val="center"/>
        <w:tblLook w:firstColumn="1" w:firstRow="1" w:lastColumn="0" w:lastRow="0" w:noHBand="0" w:noVBand="1" w:val="04A0"/>
      </w:tblPr>
      <w:tblGrid>
        <w:gridCol w:w="9576"/>
      </w:tblGrid>
      <w:tr>
        <w:tc>
          <w:tcPr>
            <w:tcW w:type="dxa" w:w="9576"/>
            <w:shd w:fill="EEF5FA"/>
            <w:tcMar>
              <w:top w:w="55" w:type="dxa"/>
              <w:start w:w="110" w:type="dxa"/>
              <w:bottom w:w="55" w:type="dxa"/>
              <w:end w:w="110" w:type="dxa"/>
            </w:tcMar>
          </w:tcPr>
          <w:p>
            <w:pPr>
              <w:spacing w:before="0" w:after="0" w:line="240" w:lineRule="auto"/>
            </w:pPr>
            <w:r>
              <w:rPr>
                <w:rFonts w:ascii="DejaVu Sans Mono" w:hAnsi="DejaVu Sans Mono" w:eastAsia="DejaVu Sans Mono"/>
                <w:b w:val="0"/>
                <w:i w:val="0"/>
                <w:color w:val="172E45"/>
                <w:sz w:val="16"/>
              </w:rPr>
              <w:t>index=* | stats count by sourcetype</w:t>
            </w:r>
          </w:p>
        </w:tc>
      </w:tr>
    </w:tbl>
    <w:p>
      <w:pPr>
        <w:spacing w:before="0" w:after="60" w:line="240" w:lineRule="auto"/>
      </w:pPr>
      <w:r>
        <w:rPr>
          <w:rFonts w:ascii="Comic Neue" w:hAnsi="Comic Neue" w:eastAsia="Comic Neue"/>
          <w:b w:val="0"/>
          <w:i/>
          <w:color w:val="5D6E80"/>
          <w:sz w:val="17"/>
        </w:rPr>
        <w:t>Inventory what kinds of records are present. Replace index/field names only after inspecting the training data.</w:t>
      </w:r>
    </w:p>
    <w:p>
      <w:pPr>
        <w:keepNext/>
        <w:spacing w:before="60" w:after="0" w:line="240" w:lineRule="auto"/>
      </w:pPr>
      <w:r>
        <w:rPr>
          <w:rFonts w:ascii="Comic Neue" w:hAnsi="Comic Neue" w:eastAsia="Comic Neue"/>
          <w:b/>
          <w:i w:val="0"/>
          <w:color w:val="007B89"/>
          <w:sz w:val="16"/>
        </w:rPr>
        <w:t xml:space="preserve">SPLUNK SPL  </w:t>
      </w:r>
    </w:p>
    <w:tbl>
      <w:tblPr>
        <w:tblW w:type="auto" w:w="0"/>
        <w:jc w:val="center"/>
        <w:tblLook w:firstColumn="1" w:firstRow="1" w:lastColumn="0" w:lastRow="0" w:noHBand="0" w:noVBand="1" w:val="04A0"/>
      </w:tblPr>
      <w:tblGrid>
        <w:gridCol w:w="9576"/>
      </w:tblGrid>
      <w:tr>
        <w:tc>
          <w:tcPr>
            <w:tcW w:type="dxa" w:w="9576"/>
            <w:shd w:fill="EEF5FA"/>
            <w:tcMar>
              <w:top w:w="55" w:type="dxa"/>
              <w:start w:w="110" w:type="dxa"/>
              <w:bottom w:w="55" w:type="dxa"/>
              <w:end w:w="110" w:type="dxa"/>
            </w:tcMar>
          </w:tcPr>
          <w:p>
            <w:pPr>
              <w:spacing w:before="0" w:after="0" w:line="240" w:lineRule="auto"/>
            </w:pPr>
            <w:r>
              <w:rPr>
                <w:rFonts w:ascii="DejaVu Sans Mono" w:hAnsi="DejaVu Sans Mono" w:eastAsia="DejaVu Sans Mono"/>
                <w:b w:val="0"/>
                <w:i w:val="0"/>
                <w:color w:val="172E45"/>
                <w:sz w:val="16"/>
              </w:rPr>
              <w:t>index=* | stats count by host</w:t>
            </w:r>
          </w:p>
        </w:tc>
      </w:tr>
    </w:tbl>
    <w:p>
      <w:pPr>
        <w:spacing w:before="0" w:after="60" w:line="240" w:lineRule="auto"/>
      </w:pPr>
      <w:r>
        <w:rPr>
          <w:rFonts w:ascii="Comic Neue" w:hAnsi="Comic Neue" w:eastAsia="Comic Neue"/>
          <w:b w:val="0"/>
          <w:i/>
          <w:color w:val="5D6E80"/>
          <w:sz w:val="17"/>
        </w:rPr>
        <w:t>Compare event volume across the training hosts.</w:t>
      </w:r>
    </w:p>
    <w:p>
      <w:pPr>
        <w:keepNext/>
        <w:spacing w:before="60" w:after="0" w:line="240" w:lineRule="auto"/>
      </w:pPr>
      <w:r>
        <w:rPr>
          <w:rFonts w:ascii="Comic Neue" w:hAnsi="Comic Neue" w:eastAsia="Comic Neue"/>
          <w:b/>
          <w:i w:val="0"/>
          <w:color w:val="007B89"/>
          <w:sz w:val="16"/>
        </w:rPr>
        <w:t xml:space="preserve">SPLUNK SPL  </w:t>
      </w:r>
    </w:p>
    <w:tbl>
      <w:tblPr>
        <w:tblW w:type="auto" w:w="0"/>
        <w:jc w:val="center"/>
        <w:tblLook w:firstColumn="1" w:firstRow="1" w:lastColumn="0" w:lastRow="0" w:noHBand="0" w:noVBand="1" w:val="04A0"/>
      </w:tblPr>
      <w:tblGrid>
        <w:gridCol w:w="9576"/>
      </w:tblGrid>
      <w:tr>
        <w:tc>
          <w:tcPr>
            <w:tcW w:type="dxa" w:w="9576"/>
            <w:shd w:fill="EEF5FA"/>
            <w:tcMar>
              <w:top w:w="55" w:type="dxa"/>
              <w:start w:w="110" w:type="dxa"/>
              <w:bottom w:w="55" w:type="dxa"/>
              <w:end w:w="110" w:type="dxa"/>
            </w:tcMar>
          </w:tcPr>
          <w:p>
            <w:pPr>
              <w:spacing w:before="0" w:after="0" w:line="240" w:lineRule="auto"/>
            </w:pPr>
            <w:r>
              <w:rPr>
                <w:rFonts w:ascii="DejaVu Sans Mono" w:hAnsi="DejaVu Sans Mono" w:eastAsia="DejaVu Sans Mono"/>
                <w:b w:val="0"/>
                <w:i w:val="0"/>
                <w:color w:val="172E45"/>
                <w:sz w:val="16"/>
              </w:rPr>
              <w:t>index=* (EventCode=4624 OR EventCode=4625) | stats count by EventCode, host</w:t>
            </w:r>
          </w:p>
        </w:tc>
      </w:tr>
    </w:tbl>
    <w:p>
      <w:pPr>
        <w:spacing w:before="0" w:after="60" w:line="240" w:lineRule="auto"/>
      </w:pPr>
      <w:r>
        <w:rPr>
          <w:rFonts w:ascii="Comic Neue" w:hAnsi="Comic Neue" w:eastAsia="Comic Neue"/>
          <w:b w:val="0"/>
          <w:i/>
          <w:color w:val="5D6E80"/>
          <w:sz w:val="17"/>
        </w:rPr>
        <w:t>Example Windows logon search; the actual field could be EventID or event_id depending on the lab data.</w:t>
      </w:r>
    </w:p>
    <w:p>
      <w:pPr>
        <w:keepNext/>
        <w:spacing w:before="60" w:after="0" w:line="240" w:lineRule="auto"/>
      </w:pPr>
      <w:r>
        <w:rPr>
          <w:rFonts w:ascii="Comic Neue" w:hAnsi="Comic Neue" w:eastAsia="Comic Neue"/>
          <w:b/>
          <w:i w:val="0"/>
          <w:color w:val="007B89"/>
          <w:sz w:val="16"/>
        </w:rPr>
        <w:t xml:space="preserve">SPLUNK SPL  </w:t>
      </w:r>
    </w:p>
    <w:tbl>
      <w:tblPr>
        <w:tblW w:type="auto" w:w="0"/>
        <w:jc w:val="center"/>
        <w:tblLook w:firstColumn="1" w:firstRow="1" w:lastColumn="0" w:lastRow="0" w:noHBand="0" w:noVBand="1" w:val="04A0"/>
      </w:tblPr>
      <w:tblGrid>
        <w:gridCol w:w="9576"/>
      </w:tblGrid>
      <w:tr>
        <w:tc>
          <w:tcPr>
            <w:tcW w:type="dxa" w:w="9576"/>
            <w:shd w:fill="EEF5FA"/>
            <w:tcMar>
              <w:top w:w="55" w:type="dxa"/>
              <w:start w:w="110" w:type="dxa"/>
              <w:bottom w:w="55" w:type="dxa"/>
              <w:end w:w="110" w:type="dxa"/>
            </w:tcMar>
          </w:tcPr>
          <w:p>
            <w:pPr>
              <w:spacing w:before="0" w:after="0" w:line="240" w:lineRule="auto"/>
            </w:pPr>
            <w:r>
              <w:rPr>
                <w:rFonts w:ascii="DejaVu Sans Mono" w:hAnsi="DejaVu Sans Mono" w:eastAsia="DejaVu Sans Mono"/>
                <w:b w:val="0"/>
                <w:i w:val="0"/>
                <w:color w:val="172E45"/>
                <w:sz w:val="16"/>
              </w:rPr>
              <w:t>index=* | timechart span=1h count</w:t>
            </w:r>
          </w:p>
        </w:tc>
      </w:tr>
    </w:tbl>
    <w:p>
      <w:pPr>
        <w:spacing w:before="0" w:after="60" w:line="240" w:lineRule="auto"/>
      </w:pPr>
      <w:r>
        <w:rPr>
          <w:rFonts w:ascii="Comic Neue" w:hAnsi="Comic Neue" w:eastAsia="Comic Neue"/>
          <w:b w:val="0"/>
          <w:i/>
          <w:color w:val="5D6E80"/>
          <w:sz w:val="17"/>
        </w:rPr>
        <w:t>View event volume over time before declaring a burst unusual.</w:t>
      </w:r>
    </w:p>
    <w:p>
      <w:pPr>
        <w:keepNext/>
        <w:spacing w:before="60" w:after="0" w:line="240" w:lineRule="auto"/>
      </w:pPr>
      <w:r>
        <w:rPr>
          <w:rFonts w:ascii="Comic Neue" w:hAnsi="Comic Neue" w:eastAsia="Comic Neue"/>
          <w:b/>
          <w:i w:val="0"/>
          <w:color w:val="007B89"/>
          <w:sz w:val="16"/>
        </w:rPr>
        <w:t xml:space="preserve">POWERSHELL / CSV  </w:t>
      </w:r>
    </w:p>
    <w:tbl>
      <w:tblPr>
        <w:tblW w:type="auto" w:w="0"/>
        <w:jc w:val="center"/>
        <w:tblLook w:firstColumn="1" w:firstRow="1" w:lastColumn="0" w:lastRow="0" w:noHBand="0" w:noVBand="1" w:val="04A0"/>
      </w:tblPr>
      <w:tblGrid>
        <w:gridCol w:w="9576"/>
      </w:tblGrid>
      <w:tr>
        <w:tc>
          <w:tcPr>
            <w:tcW w:type="dxa" w:w="9576"/>
            <w:shd w:fill="EEF5FA"/>
            <w:tcMar>
              <w:top w:w="55" w:type="dxa"/>
              <w:start w:w="110" w:type="dxa"/>
              <w:bottom w:w="55" w:type="dxa"/>
              <w:end w:w="110" w:type="dxa"/>
            </w:tcMar>
          </w:tcPr>
          <w:p>
            <w:pPr>
              <w:spacing w:before="0" w:after="0" w:line="240" w:lineRule="auto"/>
            </w:pPr>
            <w:r>
              <w:rPr>
                <w:rFonts w:ascii="DejaVu Sans Mono" w:hAnsi="DejaVu Sans Mono" w:eastAsia="DejaVu Sans Mono"/>
                <w:b w:val="0"/>
                <w:i w:val="0"/>
                <w:color w:val="172E45"/>
                <w:sz w:val="16"/>
              </w:rPr>
              <w:t>Import-Csv .\threat-hunt-auth-dns-samples.csv | Group-Object result | Select-Object Name,Count</w:t>
            </w:r>
          </w:p>
        </w:tc>
      </w:tr>
    </w:tbl>
    <w:p>
      <w:pPr>
        <w:spacing w:before="0" w:after="60" w:line="240" w:lineRule="auto"/>
      </w:pPr>
      <w:r>
        <w:rPr>
          <w:rFonts w:ascii="Comic Neue" w:hAnsi="Comic Neue" w:eastAsia="Comic Neue"/>
          <w:b w:val="0"/>
          <w:i/>
          <w:color w:val="5D6E80"/>
          <w:sz w:val="17"/>
        </w:rPr>
        <w:t>Count synthetic sign-in outcomes from the supplied file; this does not connect to a live account.</w:t>
      </w:r>
    </w:p>
    <w:p>
      <w:pPr>
        <w:keepNext/>
        <w:spacing w:before="60" w:after="0" w:line="240" w:lineRule="auto"/>
      </w:pPr>
      <w:r>
        <w:rPr>
          <w:rFonts w:ascii="Comic Neue" w:hAnsi="Comic Neue" w:eastAsia="Comic Neue"/>
          <w:b/>
          <w:i w:val="0"/>
          <w:color w:val="007B89"/>
          <w:sz w:val="16"/>
        </w:rPr>
        <w:t xml:space="preserve">LINUX / CSV  </w:t>
      </w:r>
    </w:p>
    <w:tbl>
      <w:tblPr>
        <w:tblW w:type="auto" w:w="0"/>
        <w:jc w:val="center"/>
        <w:tblLook w:firstColumn="1" w:firstRow="1" w:lastColumn="0" w:lastRow="0" w:noHBand="0" w:noVBand="1" w:val="04A0"/>
      </w:tblPr>
      <w:tblGrid>
        <w:gridCol w:w="9576"/>
      </w:tblGrid>
      <w:tr>
        <w:tc>
          <w:tcPr>
            <w:tcW w:type="dxa" w:w="9576"/>
            <w:shd w:fill="EEF5FA"/>
            <w:tcMar>
              <w:top w:w="55" w:type="dxa"/>
              <w:start w:w="110" w:type="dxa"/>
              <w:bottom w:w="55" w:type="dxa"/>
              <w:end w:w="110" w:type="dxa"/>
            </w:tcMar>
          </w:tcPr>
          <w:p>
            <w:pPr>
              <w:spacing w:before="0" w:after="0" w:line="240" w:lineRule="auto"/>
            </w:pPr>
            <w:r>
              <w:rPr>
                <w:rFonts w:ascii="DejaVu Sans Mono" w:hAnsi="DejaVu Sans Mono" w:eastAsia="DejaVu Sans Mono"/>
                <w:b w:val="0"/>
                <w:i w:val="0"/>
                <w:color w:val="172E45"/>
                <w:sz w:val="16"/>
              </w:rPr>
              <w:t>head -n 8 threat-hunt-auth-dns-samples.csv</w:t>
            </w:r>
          </w:p>
        </w:tc>
      </w:tr>
    </w:tbl>
    <w:p>
      <w:pPr>
        <w:spacing w:before="0" w:after="60" w:line="240" w:lineRule="auto"/>
      </w:pPr>
      <w:r>
        <w:rPr>
          <w:rFonts w:ascii="Comic Neue" w:hAnsi="Comic Neue" w:eastAsia="Comic Neue"/>
          <w:b w:val="0"/>
          <w:i/>
          <w:color w:val="5D6E80"/>
          <w:sz w:val="17"/>
        </w:rPr>
        <w:t>Read the sample CSV header and first few fictional rows without modifying it.</w:t>
      </w:r>
    </w:p>
    <w:tbl>
      <w:tblPr>
        <w:tblW w:type="auto" w:w="0"/>
        <w:jc w:val="center"/>
        <w:tblLayout w:type="autofit"/>
        <w:tblLook w:firstColumn="1" w:firstRow="1" w:lastColumn="0" w:lastRow="0" w:noHBand="0" w:noVBand="1" w:val="04A0"/>
      </w:tblPr>
      <w:tblGrid>
        <w:gridCol w:w="9576"/>
      </w:tblGrid>
      <w:tr>
        <w:tc>
          <w:tcPr>
            <w:tcW w:type="dxa" w:w="9576"/>
            <w:shd w:fill="E4F0FF"/>
            <w:tcMar>
              <w:top w:w="90" w:type="dxa"/>
              <w:start w:w="150" w:type="dxa"/>
              <w:bottom w:w="90" w:type="dxa"/>
              <w:end w:w="150" w:type="dxa"/>
            </w:tcMar>
          </w:tcPr>
          <w:p>
            <w:pPr>
              <w:spacing w:before="0" w:after="0" w:line="240" w:lineRule="auto"/>
            </w:pPr>
            <w:r>
              <w:rPr>
                <w:rFonts w:ascii="Comic Neue" w:hAnsi="Comic Neue" w:eastAsia="Comic Neue"/>
                <w:b/>
                <w:i/>
                <w:color w:val="275D9B"/>
                <w:sz w:val="18"/>
              </w:rPr>
              <w:t xml:space="preserve">COMMAND HABIT  </w:t>
            </w:r>
            <w:r>
              <w:rPr>
                <w:rFonts w:ascii="Comic Neue" w:hAnsi="Comic Neue" w:eastAsia="Comic Neue"/>
                <w:b w:val="0"/>
                <w:i w:val="0"/>
                <w:color w:val="2F3E50"/>
                <w:sz w:val="18"/>
              </w:rPr>
              <w:t>Check the current working directory, shell, target, and expected effect before pressing Enter. Save the exact command and the output that mattered.</w:t>
            </w:r>
          </w:p>
        </w:tc>
      </w:tr>
    </w:tbl>
    <w:p>
      <w:pPr>
        <w:spacing w:after="0"/>
      </w:pPr>
    </w:p>
    <w:p>
      <w:pPr>
        <w:pageBreakBefore/>
        <w:spacing w:before="0" w:after="20" w:line="240" w:lineRule="auto"/>
        <w:jc w:val="right"/>
      </w:pPr>
      <w:r>
        <w:rPr>
          <w:rFonts w:ascii="Comic Neue" w:hAnsi="Comic Neue" w:eastAsia="Comic Neue"/>
          <w:b/>
          <w:i/>
          <w:color w:val="688097"/>
          <w:sz w:val="15"/>
        </w:rPr>
        <w:t>RUN THE EXERCISE - RECORD WHAT THE EVIDENCE REALLY SHOWS</w:t>
      </w:r>
    </w:p>
    <w:p>
      <w:pPr>
        <w:keepNext/>
        <w:spacing w:before="100" w:after="80" w:line="240" w:lineRule="auto"/>
      </w:pPr>
      <w:r>
        <w:rPr>
          <w:rFonts w:ascii="Comic Neue" w:hAnsi="Comic Neue" w:eastAsia="Comic Neue"/>
          <w:b/>
          <w:i/>
          <w:color w:val="087F8C"/>
          <w:sz w:val="34"/>
        </w:rPr>
        <w:t>Guided lab run</w:t>
      </w:r>
    </w:p>
    <w:p>
      <w:pPr>
        <w:pStyle w:val="ListBullet"/>
        <w:spacing w:before="0" w:after="40" w:line="240" w:lineRule="auto"/>
      </w:pPr>
      <w:r>
        <w:rPr>
          <w:rFonts w:ascii="Comic Neue" w:hAnsi="Comic Neue" w:eastAsia="Comic Neue"/>
          <w:b w:val="0"/>
          <w:i w:val="0"/>
          <w:color w:val="283A50"/>
          <w:sz w:val="19"/>
        </w:rPr>
        <w:t>1. Open the exact SIEM room from the links; start its own lab machine if the page offers one.</w:t>
      </w:r>
    </w:p>
    <w:p>
      <w:pPr>
        <w:pStyle w:val="ListBullet"/>
        <w:spacing w:before="0" w:after="40" w:line="240" w:lineRule="auto"/>
      </w:pPr>
      <w:r>
        <w:rPr>
          <w:rFonts w:ascii="Comic Neue" w:hAnsi="Comic Neue" w:eastAsia="Comic Neue"/>
          <w:b w:val="0"/>
          <w:i w:val="0"/>
          <w:color w:val="283A50"/>
          <w:sz w:val="19"/>
        </w:rPr>
        <w:t>2. Identify the data source and time range before writing a search.</w:t>
      </w:r>
    </w:p>
    <w:p>
      <w:pPr>
        <w:pStyle w:val="ListBullet"/>
        <w:spacing w:before="0" w:after="40" w:line="240" w:lineRule="auto"/>
      </w:pPr>
      <w:r>
        <w:rPr>
          <w:rFonts w:ascii="Comic Neue" w:hAnsi="Comic Neue" w:eastAsia="Comic Neue"/>
          <w:b w:val="0"/>
          <w:i w:val="0"/>
          <w:color w:val="283A50"/>
          <w:sz w:val="19"/>
        </w:rPr>
        <w:t>3. Run a broad inventory search, note the available field names, then narrow to one hypothesis.</w:t>
      </w:r>
    </w:p>
    <w:p>
      <w:pPr>
        <w:pStyle w:val="ListBullet"/>
        <w:spacing w:before="0" w:after="40" w:line="240" w:lineRule="auto"/>
      </w:pPr>
      <w:r>
        <w:rPr>
          <w:rFonts w:ascii="Comic Neue" w:hAnsi="Comic Neue" w:eastAsia="Comic Neue"/>
          <w:b w:val="0"/>
          <w:i w:val="0"/>
          <w:color w:val="283A50"/>
          <w:sz w:val="19"/>
        </w:rPr>
        <w:t>4. Compare failed and successful logons, host, account, and time window. A failed login alone is not proof of compromise.</w:t>
      </w:r>
    </w:p>
    <w:p>
      <w:pPr>
        <w:pStyle w:val="ListBullet"/>
        <w:spacing w:before="0" w:after="40" w:line="240" w:lineRule="auto"/>
      </w:pPr>
      <w:r>
        <w:rPr>
          <w:rFonts w:ascii="Comic Neue" w:hAnsi="Comic Neue" w:eastAsia="Comic Neue"/>
          <w:b w:val="0"/>
          <w:i w:val="0"/>
          <w:color w:val="283A50"/>
          <w:sz w:val="19"/>
        </w:rPr>
        <w:t>5. Save a short finding with query, result, relevant row IDs, confidence, and next check.</w:t>
      </w:r>
    </w:p>
    <w:p>
      <w:pPr>
        <w:keepNext/>
        <w:spacing w:before="40" w:after="80" w:line="240" w:lineRule="auto"/>
      </w:pPr>
      <w:r>
        <w:rPr>
          <w:rFonts w:ascii="Comic Neue" w:hAnsi="Comic Neue" w:eastAsia="Comic Neue"/>
          <w:b/>
          <w:i/>
          <w:color w:val="B34778"/>
          <w:sz w:val="25"/>
        </w:rPr>
        <w:t>Evidence checklist</w:t>
      </w:r>
    </w:p>
    <w:p>
      <w:pPr>
        <w:pStyle w:val="ListBullet"/>
        <w:spacing w:before="0" w:after="40" w:line="240" w:lineRule="auto"/>
      </w:pPr>
      <w:r>
        <w:rPr>
          <w:rFonts w:ascii="Comic Neue" w:hAnsi="Comic Neue" w:eastAsia="Comic Neue"/>
          <w:b w:val="0"/>
          <w:i w:val="0"/>
          <w:color w:val="283A50"/>
          <w:sz w:val="19"/>
        </w:rPr>
        <w:t>[ ] What exact lab instance or sample file was used?</w:t>
      </w:r>
    </w:p>
    <w:p>
      <w:pPr>
        <w:pStyle w:val="ListBullet"/>
        <w:spacing w:before="0" w:after="40" w:line="240" w:lineRule="auto"/>
      </w:pPr>
      <w:r>
        <w:rPr>
          <w:rFonts w:ascii="Comic Neue" w:hAnsi="Comic Neue" w:eastAsia="Comic Neue"/>
          <w:b w:val="0"/>
          <w:i w:val="0"/>
          <w:color w:val="283A50"/>
          <w:sz w:val="19"/>
        </w:rPr>
        <w:t>[ ] Which command/query and time range produced the observation?</w:t>
      </w:r>
    </w:p>
    <w:p>
      <w:pPr>
        <w:pStyle w:val="ListBullet"/>
        <w:spacing w:before="0" w:after="40" w:line="240" w:lineRule="auto"/>
      </w:pPr>
      <w:r>
        <w:rPr>
          <w:rFonts w:ascii="Comic Neue" w:hAnsi="Comic Neue" w:eastAsia="Comic Neue"/>
          <w:b w:val="0"/>
          <w:i w:val="0"/>
          <w:color w:val="283A50"/>
          <w:sz w:val="19"/>
        </w:rPr>
        <w:t>[ ] What is the directly observed fact, separate from your inference?</w:t>
      </w:r>
    </w:p>
    <w:p>
      <w:pPr>
        <w:pStyle w:val="ListBullet"/>
        <w:spacing w:before="0" w:after="40" w:line="240" w:lineRule="auto"/>
      </w:pPr>
      <w:r>
        <w:rPr>
          <w:rFonts w:ascii="Comic Neue" w:hAnsi="Comic Neue" w:eastAsia="Comic Neue"/>
          <w:b w:val="0"/>
          <w:i w:val="0"/>
          <w:color w:val="283A50"/>
          <w:sz w:val="19"/>
        </w:rPr>
        <w:t>[ ] What benign/alternative explanation could fit?</w:t>
      </w:r>
    </w:p>
    <w:p>
      <w:pPr>
        <w:pStyle w:val="ListBullet"/>
        <w:spacing w:before="0" w:after="40" w:line="240" w:lineRule="auto"/>
      </w:pPr>
      <w:r>
        <w:rPr>
          <w:rFonts w:ascii="Comic Neue" w:hAnsi="Comic Neue" w:eastAsia="Comic Neue"/>
          <w:b w:val="0"/>
          <w:i w:val="0"/>
          <w:color w:val="283A50"/>
          <w:sz w:val="19"/>
        </w:rPr>
        <w:t>[ ] What extra record or control would help confirm the conclusion?</w:t>
      </w:r>
    </w:p>
    <w:p>
      <w:pPr>
        <w:keepNext/>
        <w:spacing w:before="40" w:after="80" w:line="240" w:lineRule="auto"/>
      </w:pPr>
      <w:r>
        <w:rPr>
          <w:rFonts w:ascii="Comic Neue" w:hAnsi="Comic Neue" w:eastAsia="Comic Neue"/>
          <w:b/>
          <w:i/>
          <w:color w:val="B34778"/>
          <w:sz w:val="25"/>
        </w:rPr>
        <w:t>Check your understanding</w:t>
      </w:r>
    </w:p>
    <w:p>
      <w:pPr>
        <w:keepNext/>
        <w:spacing w:before="40" w:after="20" w:line="240" w:lineRule="auto"/>
      </w:pPr>
      <w:r>
        <w:rPr>
          <w:rFonts w:ascii="Comic Neue" w:hAnsi="Comic Neue" w:eastAsia="Comic Neue"/>
          <w:b/>
          <w:i/>
          <w:color w:val="B34778"/>
          <w:sz w:val="19"/>
        </w:rPr>
        <w:t>Q  Why is one failed login not enough to claim an attack?</w:t>
      </w:r>
    </w:p>
    <w:p>
      <w:pPr>
        <w:spacing w:before="0" w:after="60" w:line="240" w:lineRule="auto"/>
      </w:pPr>
      <w:r>
        <w:rPr>
          <w:rFonts w:ascii="Comic Neue" w:hAnsi="Comic Neue" w:eastAsia="Comic Neue"/>
          <w:b w:val="0"/>
          <w:i w:val="0"/>
          <w:color w:val="263D52"/>
          <w:sz w:val="18"/>
        </w:rPr>
        <w:t>Think it through: A typo or expected user behaviour can cause it; compare frequency, source, account, time, and baseline.</w:t>
      </w:r>
    </w:p>
    <w:p>
      <w:pPr>
        <w:keepNext/>
        <w:spacing w:before="40" w:after="20" w:line="240" w:lineRule="auto"/>
      </w:pPr>
      <w:r>
        <w:rPr>
          <w:rFonts w:ascii="Comic Neue" w:hAnsi="Comic Neue" w:eastAsia="Comic Neue"/>
          <w:b/>
          <w:i/>
          <w:color w:val="B34778"/>
          <w:sz w:val="19"/>
        </w:rPr>
        <w:t>Q  What should be written down so another learner can reproduce the result?</w:t>
      </w:r>
    </w:p>
    <w:p>
      <w:pPr>
        <w:spacing w:before="0" w:after="60" w:line="240" w:lineRule="auto"/>
      </w:pPr>
      <w:r>
        <w:rPr>
          <w:rFonts w:ascii="Comic Neue" w:hAnsi="Comic Neue" w:eastAsia="Comic Neue"/>
          <w:b w:val="0"/>
          <w:i w:val="0"/>
          <w:color w:val="263D52"/>
          <w:sz w:val="18"/>
        </w:rPr>
        <w:t>Think it through: Exact query, time range, data source, key fields, row count, evidence IDs, and limitations.</w:t>
      </w:r>
    </w:p>
    <w:p>
      <w:pPr>
        <w:keepNext/>
        <w:spacing w:before="40" w:after="20" w:line="240" w:lineRule="auto"/>
      </w:pPr>
      <w:r>
        <w:rPr>
          <w:rFonts w:ascii="Comic Neue" w:hAnsi="Comic Neue" w:eastAsia="Comic Neue"/>
          <w:b/>
          <w:i/>
          <w:color w:val="B34778"/>
          <w:sz w:val="19"/>
        </w:rPr>
        <w:t>Q  What is the difference between an alert and an incident?</w:t>
      </w:r>
    </w:p>
    <w:p>
      <w:pPr>
        <w:spacing w:before="0" w:after="60" w:line="240" w:lineRule="auto"/>
      </w:pPr>
      <w:r>
        <w:rPr>
          <w:rFonts w:ascii="Comic Neue" w:hAnsi="Comic Neue" w:eastAsia="Comic Neue"/>
          <w:b w:val="0"/>
          <w:i w:val="0"/>
          <w:color w:val="263D52"/>
          <w:sz w:val="18"/>
        </w:rPr>
        <w:t>Think it through: An alert flags activity for review; an incident is a confirmed or managed security event after triage.</w:t>
      </w:r>
    </w:p>
    <w:tbl>
      <w:tblPr>
        <w:tblW w:type="auto" w:w="0"/>
        <w:jc w:val="center"/>
        <w:tblLayout w:type="autofit"/>
        <w:tblLook w:firstColumn="1" w:firstRow="1" w:lastColumn="0" w:lastRow="0" w:noHBand="0" w:noVBand="1" w:val="04A0"/>
      </w:tblPr>
      <w:tblGrid>
        <w:gridCol w:w="9576"/>
      </w:tblGrid>
      <w:tr>
        <w:tc>
          <w:tcPr>
            <w:tcW w:type="dxa" w:w="9576"/>
            <w:shd w:fill="FFF1C9"/>
            <w:tcMar>
              <w:top w:w="90" w:type="dxa"/>
              <w:start w:w="150" w:type="dxa"/>
              <w:bottom w:w="90" w:type="dxa"/>
              <w:end w:w="150" w:type="dxa"/>
            </w:tcMar>
          </w:tcPr>
          <w:p>
            <w:pPr>
              <w:spacing w:before="0" w:after="0" w:line="240" w:lineRule="auto"/>
            </w:pPr>
            <w:r>
              <w:rPr>
                <w:rFonts w:ascii="Comic Neue" w:hAnsi="Comic Neue" w:eastAsia="Comic Neue"/>
                <w:b/>
                <w:i/>
                <w:color w:val="8A5A00"/>
                <w:sz w:val="18"/>
              </w:rPr>
              <w:t xml:space="preserve">NOTEBOOK CLOSE-OUT  </w:t>
            </w:r>
            <w:r>
              <w:rPr>
                <w:rFonts w:ascii="Comic Neue" w:hAnsi="Comic Neue" w:eastAsia="Comic Neue"/>
                <w:b w:val="0"/>
                <w:i w:val="0"/>
                <w:color w:val="2F3E50"/>
                <w:sz w:val="18"/>
              </w:rPr>
              <w:t>Finish with: Observation / Evidence source / Why it matters / Alternative explanation / Next check / Limitation. A careful “not enough evidence yet” is a valid professional result.</w:t>
            </w:r>
          </w:p>
        </w:tc>
      </w:tr>
    </w:tbl>
    <w:p>
      <w:pPr>
        <w:spacing w:after="0"/>
      </w:pPr>
    </w:p>
    <w:sectPr w:rsidR="00FC693F" w:rsidRPr="0006063C" w:rsidSect="00034616">
      <w:headerReference w:type="default" r:id="rId9"/>
      <w:footerReference w:type="default" r:id="rId10"/>
      <w:pgSz w:w="12240" w:h="15840"/>
      <w:pgMar w:top="1123" w:right="864" w:bottom="907" w:left="1800" w:header="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omic Neue" w:hAnsi="Comic Neue" w:eastAsia="Comic Neue" w:cs="Comic Neue"/>
        <w:b w:val="0"/>
        <w:i/>
        <w:color w:val="73869A"/>
        <w:sz w:val="17"/>
      </w:rPr>
      <w:t xml:space="preserve">LEARN THE IDEA  •  CHECK THE EVIDENCE  •  EXPLAIN YOUR RESULT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pPr>
    <w:r>
      <w:drawing>
        <wp:anchor distT="0" distB="0" distL="0" distR="0" simplePos="0" relativeHeight="0" behindDoc="1" locked="0" layoutInCell="1" allowOverlap="1">
          <wp:simplePos x="0" y="0"/>
          <wp:positionH relativeFrom="page">
            <wp:posOffset>0</wp:posOffset>
          </wp:positionH>
          <wp:positionV relativeFrom="page">
            <wp:posOffset>0</wp:posOffset>
          </wp:positionV>
          <wp:wrapNone/>
          <wp:extent cx="7772400" cy="10058400"/>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notebook-paper-background.png"/>
                  <pic:cNvPicPr/>
                </pic:nvPicPr>
                <pic:blipFill>
                  <a:blip r:embed="rId1"/>
                  <a:stretch>
                    <a:fillRect/>
                  </a:stretch>
                </pic:blipFill>
                <pic:spPr>
                  <a:xfrm>
                    <a:off x="0" y="0"/>
                    <a:ext cx="7772400" cy="10058400"/>
                  </a:xfrm>
                  <a:prstGeom prst="rect"/>
                </pic:spPr>
              </pic:pic>
            </a:graphicData>
          </a:graphic>
        </wp:anchor>
      </w:drawing>
    </w:r>
  </w:p>
  <w:p>
    <w:pPr>
      <w:spacing w:before="0" w:after="0" w:line="240" w:lineRule="auto"/>
      <w:jc w:val="right"/>
    </w:pPr>
    <w:r>
      <w:rPr>
        <w:rFonts w:ascii="Comic Neue" w:hAnsi="Comic Neue" w:eastAsia="Comic Neue" w:cs="Comic Neue"/>
        <w:b w:val="0"/>
        <w:i/>
        <w:color w:val="73869A"/>
        <w:sz w:val="17"/>
      </w:rPr>
      <w:t>OPENCYBERPATH  /  HANDWRITTEN LEARNING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69" w:lineRule="auto"/>
    </w:pPr>
    <w:rPr>
      <w:rFonts w:ascii="Z003" w:hAnsi="Z003"/>
      <w:color w:val="17477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Z003" w:hAnsi="Z003"/>
      <w:b/>
      <w:bCs/>
      <w:color w:val="17477A"/>
      <w:sz w:val="4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Z003" w:hAnsi="Z003"/>
      <w:b/>
      <w:bCs/>
      <w:color w:val="B45137"/>
      <w:sz w:val="31"/>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Z003" w:hAnsi="Z003"/>
      <w:b/>
      <w:bCs/>
      <w:color w:val="267C75"/>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80"/>
      <w:contextualSpacing/>
    </w:pPr>
    <w:rPr>
      <w:rFonts w:asciiTheme="majorHAnsi" w:eastAsiaTheme="majorEastAsia" w:hAnsiTheme="majorHAnsi" w:cstheme="majorBidi" w:ascii="Z003" w:hAnsi="Z003"/>
      <w:b/>
      <w:color w:val="17477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9" w:lineRule="auto"/>
      <w:contextualSpacing/>
    </w:pPr>
    <w:rPr>
      <w:rFonts w:ascii="Z003" w:hAnsi="Z003"/>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9" w:lineRule="auto"/>
      <w:contextualSpacing/>
    </w:pPr>
    <w:rPr>
      <w:rFonts w:ascii="Z003" w:hAnsi="Z003"/>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tryhackme.com/room/loganalysiswithsiem" TargetMode="External"/><Relationship Id="rId17" Type="http://schemas.openxmlformats.org/officeDocument/2006/relationships/hyperlink" Target="https://tryhackme.com/room/splunkexploringsp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 &amp; SIEM Fundamentals — connected cursive notebook</dc:title>
  <dc:subject>Expanded lab companion pages with exact provider links, scoped commands, steps, and checks.</dc:subject>
  <dc:creator>OpenCyberPath community learning project</dc:creator>
  <cp:keywords>OpenCyberPath, hands-on lab, cybersecurity notes, authorized training</cp:keywords>
  <dc:description>generated by python-docx</dc:description>
  <cp:lastModifiedBy/>
  <cp:revision>1</cp:revision>
  <dcterms:created xsi:type="dcterms:W3CDTF">2013-12-23T23:15:00Z</dcterms:created>
  <dcterms:modified xsi:type="dcterms:W3CDTF">2013-12-23T23:15:00Z</dcterms:modified>
  <cp:category/>
</cp:coreProperties>
</file>