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omic Neue" w:hAnsi="Comic Neue" w:eastAsia="Comic Neue"/>
          <w:b/>
          <w:i w:val="0"/>
          <w:color w:val="1D4C83"/>
          <w:sz w:val="50"/>
        </w:rPr>
        <w:t>Lab 06: Build a DNS Timeline</w:t>
      </w:r>
    </w:p>
    <w:p>
      <w:pPr>
        <w:spacing w:after="160"/>
      </w:pPr>
      <w:r>
        <w:rPr>
          <w:rFonts w:ascii="Comic Neue" w:hAnsi="Comic Neue" w:eastAsia="Comic Neue"/>
          <w:b w:val="0"/>
          <w:i/>
          <w:color w:val="2D73A8"/>
          <w:sz w:val="22"/>
        </w:rPr>
        <w:t>An approachable threat-hunting exercise using fictional domain lookups and reserved sample data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NOTEBOOK STYLE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Handwriting-inspired typeset notes for printing and revision; not a scan of actual handwriting.</w:t>
            </w:r>
          </w:p>
        </w:tc>
      </w:tr>
    </w:tbl>
    <w:p>
      <w:pPr>
        <w:spacing w:after="0"/>
      </w:pPr>
    </w:p>
    <w:p>
      <w:pPr>
        <w:pStyle w:val="Heading1"/>
      </w:pPr>
      <w:r>
        <w:t>Objective</w:t>
      </w:r>
    </w:p>
    <w:p>
      <w:r>
        <w:rPr>
          <w:rFonts w:ascii="Comic Neue" w:hAnsi="Comic Neue" w:eastAsia="Comic Neue"/>
          <w:b w:val="0"/>
          <w:i w:val="0"/>
          <w:color w:val="1D4C83"/>
          <w:sz w:val="20"/>
        </w:rPr>
        <w:t>Build a simple timeline from synthetic DNS records. The goal is to describe what is unusual, compare it with normal sample activity, and record what additional evidence would be needed before making a conclusion.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AF6FB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2D73A8"/>
                <w:sz w:val="16"/>
              </w:rPr>
              <w:t xml:space="preserve">SYNTHETIC ONLY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Every hostname and event is invented for this exercise. The .invalid suffix is reserved for invalid example names, and the example IPs use documentation ranges.</w:t>
            </w:r>
          </w:p>
        </w:tc>
      </w:tr>
    </w:tbl>
    <w:p>
      <w:pPr>
        <w:spacing w:after="0"/>
      </w:pPr>
    </w:p>
    <w:p>
      <w:pPr>
        <w:pStyle w:val="Heading1"/>
      </w:pPr>
      <w:r>
        <w:t>Step 1 - Inspect the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timestamp_utc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Event time in UTC.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host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Synthetic source endpoint.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dns_query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Fictional queried name.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answer_ip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Reserved documentation address, not a live indicator.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query_count_10m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Teaching count for a short time window.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label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Discussion label, not proof of malicious intent.</w:t>
            </w:r>
          </w:p>
        </w:tc>
      </w:tr>
    </w:tbl>
    <w:p>
      <w:pPr>
        <w:pStyle w:val="Heading1"/>
      </w:pPr>
      <w:r>
        <w:t>Step 2 - Build the timeline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1.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Open labs/threat-hunt-dns-samples.csv in a spreadsheet or text editor.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2.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Sort by timestamp_utc and group rows by host and dns_query.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3.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Compare repeated lookups with the normal queries in the sample.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4.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Check whether repeated events are alone sufficient to support the hypothesis; list benign explanations such as application retries.</w:t>
      </w:r>
    </w:p>
    <w:p>
      <w:pPr>
        <w:spacing w:after="32"/>
        <w:ind w:left="346" w:hanging="346"/>
      </w:pPr>
      <w:r>
        <w:rPr>
          <w:rFonts w:ascii="Comic Neue" w:hAnsi="Comic Neue" w:eastAsia="Comic Neue"/>
          <w:b/>
          <w:i w:val="0"/>
          <w:color w:val="00B894"/>
          <w:sz w:val="20"/>
        </w:rPr>
        <w:t xml:space="preserve">5. </w:t>
      </w:r>
      <w:r>
        <w:rPr>
          <w:rFonts w:ascii="Comic Neue" w:hAnsi="Comic Neue" w:eastAsia="Comic Neue"/>
          <w:b w:val="0"/>
          <w:i w:val="0"/>
          <w:color w:val="1D4C83"/>
          <w:sz w:val="20"/>
        </w:rPr>
        <w:t>Write a conclusion that states the evidence, uncertainty, and one safe next check.</w:t>
      </w:r>
    </w:p>
    <w:p>
      <w:pPr>
        <w:pStyle w:val="Heading1"/>
      </w:pPr>
      <w:r>
        <w:t>Step 3 - Ask better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54"/>
        <w:gridCol w:w="5054"/>
      </w:tblGrid>
      <w:tr>
        <w:trPr>
          <w:tblHeader w:val="true"/>
          <w:cantSplit/>
        </w:trPr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Question</w:t>
            </w:r>
          </w:p>
        </w:tc>
        <w:tc>
          <w:tcPr>
            <w:tcW w:type="dxa" w:w="5054"/>
            <w:shd w:fill="102637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7"/>
              </w:rPr>
              <w:t>Why it matters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Is the hostname itself enough to call this malicious?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No. A name or repetition alone is weak context.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else was happening on the host at the same time?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Process, sign-in, proxy, and endpoint events may help contextualise it.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Is the system expected to make these queries?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Baseline and application context reduce false positives.</w:t>
            </w:r>
          </w:p>
        </w:tc>
      </w:tr>
      <w:tr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What data is missing?</w:t>
            </w:r>
          </w:p>
        </w:tc>
        <w:tc>
          <w:tcPr>
            <w:tcW w:type="dxa" w:w="5054"/>
            <w:tcMar>
              <w:top w:w="100" w:type="dxa"/>
              <w:start w:w="130" w:type="dxa"/>
              <w:bottom w:w="100" w:type="dxa"/>
              <w:end w:w="130" w:type="dxa"/>
            </w:tcMar>
            <w:vAlign w:val="center"/>
            <w:shd w:fill="F1F6F7"/>
          </w:tcPr>
          <w:p>
            <w:r>
              <w:rPr>
                <w:rFonts w:ascii="Aptos" w:hAnsi="Aptos" w:eastAsia="Aptos"/>
                <w:b w:val="0"/>
                <w:i w:val="0"/>
                <w:color w:val="102637"/>
                <w:sz w:val="17"/>
              </w:rPr>
              <w:t>Query source process, resolver logs, and fuller time context may not be present in the sample.</w:t>
            </w:r>
          </w:p>
        </w:tc>
      </w:tr>
    </w:tbl>
    <w:p>
      <w:pPr>
        <w:pStyle w:val="Heading1"/>
      </w:pPr>
      <w:r>
        <w:t>Deliverable: one-paragraph hunt note</w:t>
      </w:r>
    </w:p>
    <w:p>
      <w:r>
        <w:rPr>
          <w:rFonts w:ascii="Comic Neue" w:hAnsi="Comic Neue" w:eastAsia="Comic Neue"/>
          <w:b w:val="0"/>
          <w:i w:val="0"/>
          <w:color w:val="1D4C83"/>
          <w:sz w:val="20"/>
        </w:rPr>
        <w:t>Question: [what pattern did you look for?] Evidence: [synthetic event IDs, times, host, query]. Interpretation: [what the pattern may suggest]. Alternative explanation: [what else could cause it]. Confidence: [low/medium/high and why]. Next step: [additional authorised evidence that would help].</w:t>
      </w:r>
    </w:p>
    <w:p>
      <w:pPr>
        <w:pStyle w:val="Heading1"/>
      </w:pPr>
      <w:r>
        <w:t>Reference</w:t>
      </w:r>
    </w:p>
    <w:p>
      <w:pPr>
        <w:pStyle w:val="ListBullet"/>
      </w:pPr>
      <w:hyperlink r:id="rId11">
        <w:r>
          <w:rPr>
            <w:color w:val="00B894"/>
            <w:u w:val="single"/>
          </w:rPr>
          <w:t>MITRE ATT&amp;CK knowledge base</w:t>
        </w:r>
      </w:hyperlink>
    </w:p>
    <w:p>
      <w:pPr>
        <w:pStyle w:val="ListBullet"/>
      </w:pPr>
      <w:hyperlink r:id="rId12">
        <w:r>
          <w:rPr>
            <w:color w:val="00B894"/>
            <w:u w:val="single"/>
          </w:rPr>
          <w:t>Microsoft threat hunting overview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3FFF4"/>
            <w:tcMar>
              <w:top w:w="100" w:type="dxa"/>
              <w:start w:w="130" w:type="dxa"/>
              <w:bottom w:w="100" w:type="dxa"/>
              <w:end w:w="130" w:type="dxa"/>
            </w:tcMar>
          </w:tcPr>
          <w:p>
            <w:pPr>
              <w:spacing w:after="20"/>
            </w:pPr>
            <w:r>
              <w:rPr>
                <w:rFonts w:ascii="Aptos" w:hAnsi="Aptos" w:eastAsia="Aptos"/>
                <w:b/>
                <w:i w:val="0"/>
                <w:color w:val="00B894"/>
                <w:sz w:val="16"/>
              </w:rPr>
              <w:t xml:space="preserve">SUCCESS CRITERION  </w:t>
            </w:r>
            <w:r>
              <w:rPr>
                <w:rFonts w:ascii="Aptos" w:hAnsi="Aptos" w:eastAsia="Aptos"/>
                <w:b w:val="0"/>
                <w:i w:val="0"/>
                <w:color w:val="102637"/>
                <w:sz w:val="18"/>
              </w:rPr>
              <w:t>Describe the pattern without claiming that a training label or repeated DNS lookup proves a compromise.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OPENCYBERPATH FIELD NOTEBOOK - MATCHED EXTERNAL PRACTICE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A real lab for these notes</w:t>
      </w:r>
    </w:p>
    <w:p>
      <w:pPr>
        <w:spacing w:before="0" w:after="80" w:line="240" w:lineRule="auto"/>
      </w:pPr>
      <w:r>
        <w:rPr>
          <w:rFonts w:ascii="Comic Neue" w:hAnsi="Comic Neue" w:eastAsia="Comic Neue"/>
          <w:b w:val="0"/>
          <w:i w:val="0"/>
          <w:color w:val="24344D"/>
          <w:sz w:val="20"/>
        </w:rPr>
        <w:t>Topic: DNS lookups, timestamps, and packet-capture analysis. These pages connect the existing OpenCyberPath notes to specific provider-hosted exercises. The card label is intentionally generic; the exact task name and direct URL are listed here so you can open the right exercise instead of a whole catalogue.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Concept checkpoints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DNS answers map names to records; one query does not establish intent.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Record query time, client, queried name, response, TTL (if available), and surrounding activity.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The bundled .invalid names and documentation-range IPs are synthetic.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PCAP display filters narrow evidence; they do not modify the capture.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DNS in Detail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3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https://tryhackme.com/room/dnsindetail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provider may restrict attached activities by tier. The room teaches DNS query and response concepts.</w:t>
      </w:r>
    </w:p>
    <w:p>
      <w:pPr>
        <w:keepNext/>
        <w:spacing w:before="0" w:after="0" w:line="240" w:lineRule="auto"/>
      </w:pPr>
      <w:r>
        <w:rPr>
          <w:rFonts w:ascii="Comic Neue" w:hAnsi="Comic Neue" w:eastAsia="Comic Neue"/>
          <w:b/>
          <w:i w:val="0"/>
          <w:color w:val="213A58"/>
          <w:sz w:val="20"/>
        </w:rPr>
        <w:t xml:space="preserve">Wireshark: The Basics  </w:t>
      </w:r>
      <w:r>
        <w:rPr>
          <w:rFonts w:ascii="Comic Neue" w:hAnsi="Comic Neue" w:eastAsia="Comic Neue"/>
          <w:b w:val="0"/>
          <w:i/>
          <w:color w:val="007B89"/>
          <w:sz w:val="17"/>
        </w:rPr>
        <w:t>[TryHackMe]</w:t>
      </w:r>
    </w:p>
    <w:p>
      <w:pPr>
        <w:spacing w:before="0" w:after="20" w:line="240" w:lineRule="auto"/>
      </w:pPr>
      <w:hyperlink r:id="rId14">
        <w:r>
          <w:rPr>
            <w:color w:val="1465A8"/>
            <w:u w:val="single"/>
            <w:rFonts w:ascii="DejaVu Sans Mono" w:hAnsi="DejaVu Sans Mono" w:eastAsia="DejaVu Sans Mono"/>
            <w:sz w:val="15"/>
          </w:rPr>
          <w:t>https://tryhackme.com/room/wiresharkthebasics</w:t>
        </w:r>
      </w:hyperlink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E6D7E"/>
          <w:sz w:val="17"/>
        </w:rPr>
        <w:t>Access note: Account required; the room has a deployable machine and supplied packet captures. Some tasks may require a paid entitlement.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DDF4F2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087F8C"/>
                <w:sz w:val="18"/>
              </w:rPr>
              <w:t xml:space="preserve">ACCESS CHECK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Open the exact task page and verify the current login, account tier, VM launch button, free/paid terms, and any cost notes before starting. A provider may change availability or retire a challenge.</w:t>
            </w:r>
          </w:p>
        </w:tc>
      </w:tr>
    </w:tbl>
    <w:p>
      <w:pPr>
        <w:spacing w:after="0"/>
      </w:pP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Before you click Start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Write down the provider’s target/scope and use only the instance it creates for you.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Keep this notebook beside the exercise. Use its original course data before trying commands on a local machine.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Capture timestamps, filenames, row/packet IDs, and a short explanation; redact credentials, tokens, and personal data.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If a page says retired, premium, or downloadable-only, use the alternative listed in the access note or return to the matching interactive lab above.</w:t>
      </w: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COMMAND NOTEBOOK - COPY ONE LINE AT A TIME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Commands you can explain</w:t>
      </w:r>
    </w:p>
    <w:p>
      <w:pPr>
        <w:spacing w:before="0" w:after="80" w:line="240" w:lineRule="auto"/>
      </w:pPr>
      <w:r>
        <w:rPr>
          <w:rFonts w:ascii="Comic Neue" w:hAnsi="Comic Neue" w:eastAsia="Comic Neue"/>
          <w:b/>
          <w:i w:val="0"/>
          <w:color w:val="8B4E24"/>
          <w:sz w:val="19"/>
        </w:rPr>
        <w:t>Run TShark against the PCAP supplied in the lab. Do not capture or inspect other people’s traffic.</w:t>
      </w:r>
    </w:p>
    <w:p>
      <w:pPr>
        <w:spacing w:before="0" w:after="100" w:line="240" w:lineRule="auto"/>
      </w:pPr>
      <w:r>
        <w:rPr>
          <w:rFonts w:ascii="Comic Neue" w:hAnsi="Comic Neue" w:eastAsia="Comic Neue"/>
          <w:b w:val="0"/>
          <w:i/>
          <w:color w:val="5A6C7E"/>
          <w:sz w:val="18"/>
        </w:rPr>
        <w:t>First download the matching sample file(s) from the existing card when a command names one. Keep the data in a practice folder and never execute strings stored in evidence.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TIMELINE VIEW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Import-Csv .\threat-hunt-dns-samples.csv | Sort-Object timestamp_utc | Format-Table timestamp_utc,host,dns_query,answer_ip,query_count_10m,label -AutoSize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Display the bundled synthetic DNS timeline.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POWERSHELL / REPETITIVE NAMES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Import-Csv .\threat-hunt-dns-samples.csv | Group-Object dns_query | Sort-Object Count -Descending | Select-Object Count,Name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Find repeated names in the sample without sending DNS requests.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WIRESHARK DISPLAY FILTER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dns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Show DNS protocol packets in the capture provided by the lab.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TSHARK / EXTRACT FIELDS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tshark -r .\Exercise.pcapng -Y dns -T fields -e frame.time -e ip.src -e dns.qry.name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Extract timestamps, client IP, and queried name from a file supplied by the training room. Replace the file name with the one included in that room.</w:t>
      </w:r>
    </w:p>
    <w:p>
      <w:pPr>
        <w:keepNext/>
        <w:spacing w:before="60" w:after="0" w:line="240" w:lineRule="auto"/>
      </w:pPr>
      <w:r>
        <w:rPr>
          <w:rFonts w:ascii="Comic Neue" w:hAnsi="Comic Neue" w:eastAsia="Comic Neue"/>
          <w:b/>
          <w:i w:val="0"/>
          <w:color w:val="007B89"/>
          <w:sz w:val="16"/>
        </w:rPr>
        <w:t xml:space="preserve">LOCAL LOOKUP DEMONSTRATION 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EF5FA"/>
            <w:tcMar>
              <w:top w:w="55" w:type="dxa"/>
              <w:start w:w="110" w:type="dxa"/>
              <w:bottom w:w="55" w:type="dxa"/>
              <w:end w:w="110" w:type="dxa"/>
            </w:tcMar>
          </w:tcPr>
          <w:p>
            <w:pPr>
              <w:spacing w:before="0" w:after="0" w:line="240" w:lineRule="auto"/>
            </w:pPr>
            <w:r>
              <w:rPr>
                <w:rFonts w:ascii="DejaVu Sans Mono" w:hAnsi="DejaVu Sans Mono" w:eastAsia="DejaVu Sans Mono"/>
                <w:b w:val="0"/>
                <w:i w:val="0"/>
                <w:color w:val="172E45"/>
                <w:sz w:val="16"/>
              </w:rPr>
              <w:t>nslookup example.com</w:t>
            </w:r>
          </w:p>
        </w:tc>
      </w:tr>
    </w:tbl>
    <w:p>
      <w:pPr>
        <w:spacing w:before="0" w:after="60" w:line="240" w:lineRule="auto"/>
      </w:pPr>
      <w:r>
        <w:rPr>
          <w:rFonts w:ascii="Comic Neue" w:hAnsi="Comic Neue" w:eastAsia="Comic Neue"/>
          <w:b w:val="0"/>
          <w:i/>
          <w:color w:val="5D6E80"/>
          <w:sz w:val="17"/>
        </w:rPr>
        <w:t>Demonstrates a normal DNS query. For scoring, use the provider’s supplied dataset or target, not arbitrary hosts.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E4F0FF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275D9B"/>
                <w:sz w:val="18"/>
              </w:rPr>
              <w:t xml:space="preserve">COMMAND HABIT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Check the current working directory, shell, target, and expected effect before pressing Enter. Save the exact command and the output that mattered.</w:t>
            </w:r>
          </w:p>
        </w:tc>
      </w:tr>
    </w:tbl>
    <w:p>
      <w:pPr>
        <w:spacing w:after="0"/>
      </w:pPr>
    </w:p>
    <w:p>
      <w:pPr>
        <w:pageBreakBefore/>
        <w:spacing w:before="0" w:after="20" w:line="240" w:lineRule="auto"/>
        <w:jc w:val="right"/>
      </w:pPr>
      <w:r>
        <w:rPr>
          <w:rFonts w:ascii="Comic Neue" w:hAnsi="Comic Neue" w:eastAsia="Comic Neue"/>
          <w:b/>
          <w:i/>
          <w:color w:val="688097"/>
          <w:sz w:val="15"/>
        </w:rPr>
        <w:t>RUN THE EXERCISE - RECORD WHAT THE EVIDENCE REALLY SHOWS</w:t>
      </w:r>
    </w:p>
    <w:p>
      <w:pPr>
        <w:keepNext/>
        <w:spacing w:before="100" w:after="80" w:line="240" w:lineRule="auto"/>
      </w:pPr>
      <w:r>
        <w:rPr>
          <w:rFonts w:ascii="Comic Neue" w:hAnsi="Comic Neue" w:eastAsia="Comic Neue"/>
          <w:b/>
          <w:i/>
          <w:color w:val="087F8C"/>
          <w:sz w:val="34"/>
        </w:rPr>
        <w:t>Guided lab run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1. Open the exact DNS room first, then open the separate Wireshark task if you need packet-level evidence.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2. Sort the provided CSV by UTC timestamp and group by queried name.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3. In a PCAP, use the display filter dns and compare query and response packets.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4. Note repeated queries, response codes, and the client host; check for retries and normal software behaviour.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5. Create a timeline with source row/packet number, time, observation, possible meaning, and limitations.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Evidence checklist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exact lab instance or sample file was used?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Which command/query and time range produced the observation?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is the directly observed fact, separate from your inference?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benign/alternative explanation could fit?</w:t>
      </w:r>
    </w:p>
    <w:p>
      <w:pPr>
        <w:pStyle w:val="ListBullet"/>
        <w:spacing w:before="0" w:after="40" w:line="240" w:lineRule="auto"/>
      </w:pPr>
      <w:r>
        <w:rPr>
          <w:rFonts w:ascii="Comic Neue" w:hAnsi="Comic Neue" w:eastAsia="Comic Neue"/>
          <w:b w:val="0"/>
          <w:i w:val="0"/>
          <w:color w:val="283A50"/>
          <w:sz w:val="19"/>
        </w:rPr>
        <w:t>[ ] What extra record or control would help confirm the conclusion?</w:t>
      </w:r>
    </w:p>
    <w:p>
      <w:pPr>
        <w:keepNext/>
        <w:spacing w:before="40" w:after="80" w:line="240" w:lineRule="auto"/>
      </w:pPr>
      <w:r>
        <w:rPr>
          <w:rFonts w:ascii="Comic Neue" w:hAnsi="Comic Neue" w:eastAsia="Comic Neue"/>
          <w:b/>
          <w:i/>
          <w:color w:val="B34778"/>
          <w:sz w:val="25"/>
        </w:rPr>
        <w:t>Check your understanding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Does repeated DNS query volume prove command-and-control?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No. Retries, telemetry, and routine apps can produce repeated DNS queries; additional context is required.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What is the difference between DNS query and DNS response?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A query asks for a record; a response returns an answer or an error/absence indication.</w:t>
      </w:r>
    </w:p>
    <w:p>
      <w:pPr>
        <w:keepNext/>
        <w:spacing w:before="40" w:after="20" w:line="240" w:lineRule="auto"/>
      </w:pPr>
      <w:r>
        <w:rPr>
          <w:rFonts w:ascii="Comic Neue" w:hAnsi="Comic Neue" w:eastAsia="Comic Neue"/>
          <w:b/>
          <w:i/>
          <w:color w:val="B34778"/>
          <w:sz w:val="19"/>
        </w:rPr>
        <w:t>Q  Why keep the original PCAP unchanged?</w:t>
      </w:r>
    </w:p>
    <w:p>
      <w:pPr>
        <w:spacing w:before="0" w:after="60" w:line="240" w:lineRule="auto"/>
      </w:pPr>
      <w:r>
        <w:rPr>
          <w:rFonts w:ascii="Comic Neue" w:hAnsi="Comic Neue" w:eastAsia="Comic Neue"/>
          <w:b w:val="0"/>
          <w:i w:val="0"/>
          <w:color w:val="263D52"/>
          <w:sz w:val="18"/>
        </w:rPr>
        <w:t>Think it through: It preserves reproducibility and avoids altering the evidence used by another learner.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108"/>
      </w:tblGrid>
      <w:tr>
        <w:tc>
          <w:tcPr>
            <w:tcW w:type="dxa" w:w="10108"/>
            <w:shd w:fill="FFF1C9"/>
            <w:tcMar>
              <w:top w:w="90" w:type="dxa"/>
              <w:start w:w="150" w:type="dxa"/>
              <w:bottom w:w="90" w:type="dxa"/>
              <w:end w:w="150" w:type="dxa"/>
            </w:tcMar>
          </w:tcPr>
          <w:p>
            <w:pPr>
              <w:spacing w:before="0" w:after="0" w:line="240" w:lineRule="auto"/>
            </w:pPr>
            <w:r>
              <w:rPr>
                <w:rFonts w:ascii="Comic Neue" w:hAnsi="Comic Neue" w:eastAsia="Comic Neue"/>
                <w:b/>
                <w:i/>
                <w:color w:val="8A5A00"/>
                <w:sz w:val="18"/>
              </w:rPr>
              <w:t xml:space="preserve">NOTEBOOK CLOSE-OUT  </w:t>
            </w:r>
            <w:r>
              <w:rPr>
                <w:rFonts w:ascii="Comic Neue" w:hAnsi="Comic Neue" w:eastAsia="Comic Neue"/>
                <w:b w:val="0"/>
                <w:i w:val="0"/>
                <w:color w:val="2F3E50"/>
                <w:sz w:val="18"/>
              </w:rPr>
              <w:t>Finish with: Observation / Evidence source / Why it matters / Alternative explanation / Next check / Limitation. A careful “not enough evidence yet” is a valid professional result.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66" w:bottom="893" w:left="106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71828C"/>
        <w:sz w:val="15"/>
      </w:rPr>
      <w:t>Learn openly • Practise only in authorised environments • No job or reward guarantee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71828C"/>
        <w:sz w:val="15"/>
      </w:rPr>
      <w:t>OPENCYBERPATH  /  OPEN LEARNING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Comic Neue" w:hAnsi="Comic Neue" w:eastAsia="Comic Neue"/>
      <w:color w:val="1D4C8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omic Neue" w:hAnsi="Comic Neue" w:eastAsia="Comic Neue"/>
      <w:b/>
      <w:bCs/>
      <w:color w:val="1D4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Comic Neue" w:hAnsi="Comic Neue" w:eastAsia="Comic Neue"/>
      <w:b/>
      <w:color w:val="1D4C8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ttack.mitre.org/" TargetMode="External"/><Relationship Id="rId12" Type="http://schemas.openxmlformats.org/officeDocument/2006/relationships/hyperlink" Target="https://learn.microsoft.com/en-us/defender-xdr/hunting-overview" TargetMode="External"/><Relationship Id="rId13" Type="http://schemas.openxmlformats.org/officeDocument/2006/relationships/hyperlink" Target="https://tryhackme.com/room/dnsindetail" TargetMode="External"/><Relationship Id="rId14" Type="http://schemas.openxmlformats.org/officeDocument/2006/relationships/hyperlink" Target="https://tryhackme.com/room/wiresharkthebas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06: Build a DNS Timeline</dc:title>
  <dc:subject>Expanded lab companion pages with exact provider links, scoped commands, steps, and checks.</dc:subject>
  <dc:creator>OpenCyberPath community contributors</dc:creator>
  <cp:keywords>OpenCyberPath, hands-on lab, cybersecurity notes, authorized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