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56AE" w14:textId="77777777" w:rsidR="006B0916" w:rsidRPr="006B0916" w:rsidRDefault="006B0916" w:rsidP="006B0916">
      <w:pPr>
        <w:rPr>
          <w:b/>
          <w:bCs/>
        </w:rPr>
      </w:pPr>
      <w:r w:rsidRPr="006B0916">
        <w:rPr>
          <w:b/>
          <w:bCs/>
        </w:rPr>
        <w:t>Scenario 1: Strong Compliance with Clear, High-Quality Documentation</w:t>
      </w:r>
    </w:p>
    <w:p w14:paraId="71E13443" w14:textId="77777777" w:rsidR="006B0916" w:rsidRPr="006B0916" w:rsidRDefault="006B0916" w:rsidP="006B0916">
      <w:pPr>
        <w:rPr>
          <w:b/>
          <w:bCs/>
        </w:rPr>
      </w:pPr>
      <w:r w:rsidRPr="006B0916">
        <w:rPr>
          <w:b/>
          <w:bCs/>
        </w:rPr>
        <w:t>Use Case</w:t>
      </w:r>
    </w:p>
    <w:p w14:paraId="679EF37C" w14:textId="77777777" w:rsidR="006B0916" w:rsidRPr="006B0916" w:rsidRDefault="006B0916" w:rsidP="006B0916">
      <w:r w:rsidRPr="006B0916">
        <w:t>Model Audit Review – Capital Adequacy Assessment</w:t>
      </w:r>
    </w:p>
    <w:p w14:paraId="57EFD3B5" w14:textId="77777777" w:rsidR="006B0916" w:rsidRPr="006B0916" w:rsidRDefault="006B0916" w:rsidP="006B0916">
      <w:r w:rsidRPr="006B0916">
        <w:pict w14:anchorId="26EEE8C4">
          <v:rect id="_x0000_i1063" style="width:0;height:1.5pt" o:hralign="center" o:hrstd="t" o:hr="t" fillcolor="#a0a0a0" stroked="f"/>
        </w:pict>
      </w:r>
    </w:p>
    <w:p w14:paraId="2699A3AB" w14:textId="77777777" w:rsidR="006B0916" w:rsidRPr="006B0916" w:rsidRDefault="006B0916" w:rsidP="006B0916">
      <w:pPr>
        <w:rPr>
          <w:b/>
          <w:bCs/>
        </w:rPr>
      </w:pPr>
      <w:r w:rsidRPr="006B0916">
        <w:rPr>
          <w:b/>
          <w:bCs/>
        </w:rPr>
        <w:t>Regulations Considered</w:t>
      </w:r>
    </w:p>
    <w:p w14:paraId="6F289396" w14:textId="77777777" w:rsidR="006B0916" w:rsidRPr="006B0916" w:rsidRDefault="006B0916" w:rsidP="006B0916">
      <w:r w:rsidRPr="006B0916">
        <w:rPr>
          <w:b/>
          <w:bCs/>
        </w:rPr>
        <w:t>1. Basel III – Minimum Capital Requirements (CET1, Tier 1, Total Capital)</w:t>
      </w:r>
      <w:r w:rsidRPr="006B0916">
        <w:br/>
        <w:t>Banks must maintain minimum Common Equity Tier 1 (CET1), Tier 1, and Total Capital ratios calculated in accordance with Basel III definitions of capital components and risk-weighted assets. Capital composition, deductions, and eligibility criteria must be clearly documented.</w:t>
      </w:r>
    </w:p>
    <w:p w14:paraId="02B2D1BD" w14:textId="77777777" w:rsidR="006B0916" w:rsidRPr="006B0916" w:rsidRDefault="006B0916" w:rsidP="006B0916">
      <w:r w:rsidRPr="006B0916">
        <w:rPr>
          <w:b/>
          <w:bCs/>
        </w:rPr>
        <w:t>2. Basel III – Capital Conservation Buffer (CCB)</w:t>
      </w:r>
      <w:r w:rsidRPr="006B0916">
        <w:br/>
        <w:t>Banks are required to hold an additional capital conservation buffer above minimum capital requirements to absorb losses during periods of stress. The buffer framework, breach thresholds, and associated constraints must be clearly articulated.</w:t>
      </w:r>
    </w:p>
    <w:p w14:paraId="2124F709" w14:textId="77777777" w:rsidR="006B0916" w:rsidRPr="006B0916" w:rsidRDefault="006B0916" w:rsidP="006B0916">
      <w:r w:rsidRPr="006B0916">
        <w:pict w14:anchorId="36646D56">
          <v:rect id="_x0000_i1064" style="width:0;height:1.5pt" o:hralign="center" o:hrstd="t" o:hr="t" fillcolor="#a0a0a0" stroked="f"/>
        </w:pict>
      </w:r>
    </w:p>
    <w:p w14:paraId="2225D0AB" w14:textId="77777777" w:rsidR="006B0916" w:rsidRPr="006B0916" w:rsidRDefault="006B0916" w:rsidP="006B0916">
      <w:pPr>
        <w:rPr>
          <w:b/>
          <w:bCs/>
        </w:rPr>
      </w:pPr>
      <w:r w:rsidRPr="006B0916">
        <w:rPr>
          <w:b/>
          <w:bCs/>
        </w:rPr>
        <w:t>Compliance Report</w:t>
      </w:r>
    </w:p>
    <w:p w14:paraId="1FC2E3AD" w14:textId="77777777" w:rsidR="006B0916" w:rsidRPr="006B0916" w:rsidRDefault="006B0916" w:rsidP="006B0916">
      <w:r w:rsidRPr="006B0916">
        <w:t xml:space="preserve">The institution is </w:t>
      </w:r>
      <w:r w:rsidRPr="006B0916">
        <w:rPr>
          <w:b/>
          <w:bCs/>
        </w:rPr>
        <w:t>compliant</w:t>
      </w:r>
      <w:r w:rsidRPr="006B0916">
        <w:t xml:space="preserve"> with the requirements under </w:t>
      </w:r>
      <w:r w:rsidRPr="006B0916">
        <w:rPr>
          <w:b/>
          <w:bCs/>
        </w:rPr>
        <w:t>Basel III Minimum Capital Requirements and the Capital Conservation Buffer framework</w:t>
      </w:r>
      <w:r w:rsidRPr="006B0916">
        <w:t>.</w:t>
      </w:r>
    </w:p>
    <w:p w14:paraId="12A51621" w14:textId="77777777" w:rsidR="006B0916" w:rsidRPr="006B0916" w:rsidRDefault="006B0916" w:rsidP="006B0916">
      <w:r w:rsidRPr="006B0916">
        <w:t xml:space="preserve">In line with </w:t>
      </w:r>
      <w:r w:rsidRPr="006B0916">
        <w:rPr>
          <w:b/>
          <w:bCs/>
        </w:rPr>
        <w:t>Basel III capital adequacy requirements</w:t>
      </w:r>
      <w:r w:rsidRPr="006B0916">
        <w:t>, the audit documentation clearly presents CET1, Tier 1, and Total Capital ratios, along with a transparent breakdown of eligible capital components and applicable deductions. Risk-weighted assets are calculated using approved methodologies, and assumptions are explicitly stated.</w:t>
      </w:r>
    </w:p>
    <w:p w14:paraId="624E9EE4" w14:textId="77777777" w:rsidR="006B0916" w:rsidRPr="006B0916" w:rsidRDefault="006B0916" w:rsidP="006B0916">
      <w:r w:rsidRPr="006B0916">
        <w:t xml:space="preserve">Consistent with </w:t>
      </w:r>
      <w:r w:rsidRPr="006B0916">
        <w:rPr>
          <w:b/>
          <w:bCs/>
        </w:rPr>
        <w:t>Basel III Capital Conservation Buffer expectations</w:t>
      </w:r>
      <w:r w:rsidRPr="006B0916">
        <w:t>, the documentation explains the purpose of the buffer, the applicable buffer threshold, and the institution’s current position relative to that threshold. The narrative clearly describes the implications of buffer breaches and confirms that capital levels remain comfortably above both minimum and buffer requirements.</w:t>
      </w:r>
    </w:p>
    <w:p w14:paraId="7D3285CA" w14:textId="77777777" w:rsidR="006B0916" w:rsidRPr="006B0916" w:rsidRDefault="006B0916" w:rsidP="006B0916">
      <w:r w:rsidRPr="006B0916">
        <w:t>The audit documentation demonstrates strong regulatory alignment, clear traceability to Basel III requirements, and a high standard of explanation. No material gaps or weaknesses were identified.</w:t>
      </w:r>
    </w:p>
    <w:p w14:paraId="30359191" w14:textId="77777777" w:rsidR="00355717" w:rsidRDefault="00355717" w:rsidP="006B0916"/>
    <w:p w14:paraId="09F71F3A" w14:textId="77777777" w:rsidR="006B0916" w:rsidRDefault="006B0916" w:rsidP="006B0916"/>
    <w:p w14:paraId="7C8AE0AB" w14:textId="77777777" w:rsidR="006B0916" w:rsidRPr="006B0916" w:rsidRDefault="006B0916" w:rsidP="006B0916">
      <w:pPr>
        <w:rPr>
          <w:b/>
          <w:bCs/>
        </w:rPr>
      </w:pPr>
      <w:r w:rsidRPr="006B0916">
        <w:rPr>
          <w:b/>
          <w:bCs/>
        </w:rPr>
        <w:t>Scenario 2: Compliant Metrics but Weak Explanatory Documentation</w:t>
      </w:r>
    </w:p>
    <w:p w14:paraId="76D9FDFF" w14:textId="77777777" w:rsidR="006B0916" w:rsidRPr="006B0916" w:rsidRDefault="006B0916" w:rsidP="006B0916">
      <w:pPr>
        <w:rPr>
          <w:b/>
          <w:bCs/>
        </w:rPr>
      </w:pPr>
      <w:r w:rsidRPr="006B0916">
        <w:rPr>
          <w:b/>
          <w:bCs/>
        </w:rPr>
        <w:t>Use Case</w:t>
      </w:r>
    </w:p>
    <w:p w14:paraId="23F225D6" w14:textId="77777777" w:rsidR="006B0916" w:rsidRPr="006B0916" w:rsidRDefault="006B0916" w:rsidP="006B0916">
      <w:r w:rsidRPr="006B0916">
        <w:t>Model Audit Review – Liquidity Risk Compliance</w:t>
      </w:r>
    </w:p>
    <w:p w14:paraId="1BA24282" w14:textId="77777777" w:rsidR="006B0916" w:rsidRPr="006B0916" w:rsidRDefault="006B0916" w:rsidP="006B0916">
      <w:r w:rsidRPr="006B0916">
        <w:pict w14:anchorId="07FB2244">
          <v:rect id="_x0000_i1085" style="width:0;height:1.5pt" o:hralign="center" o:hrstd="t" o:hr="t" fillcolor="#a0a0a0" stroked="f"/>
        </w:pict>
      </w:r>
    </w:p>
    <w:p w14:paraId="3ADE3ECF" w14:textId="77777777" w:rsidR="006B0916" w:rsidRPr="006B0916" w:rsidRDefault="006B0916" w:rsidP="006B0916">
      <w:pPr>
        <w:rPr>
          <w:b/>
          <w:bCs/>
        </w:rPr>
      </w:pPr>
      <w:r w:rsidRPr="006B0916">
        <w:rPr>
          <w:b/>
          <w:bCs/>
        </w:rPr>
        <w:t>Regulations Considered</w:t>
      </w:r>
    </w:p>
    <w:p w14:paraId="7B1C4CE8" w14:textId="77777777" w:rsidR="006B0916" w:rsidRPr="006B0916" w:rsidRDefault="006B0916" w:rsidP="006B0916">
      <w:r w:rsidRPr="006B0916">
        <w:rPr>
          <w:b/>
          <w:bCs/>
        </w:rPr>
        <w:t>1. Basel III – Liquidity Coverage Ratio (LCR)</w:t>
      </w:r>
      <w:r w:rsidRPr="006B0916">
        <w:br/>
        <w:t xml:space="preserve">Banks must maintain a Liquidity Coverage Ratio sufficient to withstand a 30-day liquidity stress </w:t>
      </w:r>
      <w:r w:rsidRPr="006B0916">
        <w:lastRenderedPageBreak/>
        <w:t>scenario. The LCR calculation, assumptions, and underlying liquidity stress rationale must be documented.</w:t>
      </w:r>
    </w:p>
    <w:p w14:paraId="07BF6BF4" w14:textId="77777777" w:rsidR="006B0916" w:rsidRPr="006B0916" w:rsidRDefault="006B0916" w:rsidP="006B0916">
      <w:r w:rsidRPr="006B0916">
        <w:rPr>
          <w:b/>
          <w:bCs/>
        </w:rPr>
        <w:t>2. Basel III – High Quality Liquid Assets (HQLA)</w:t>
      </w:r>
      <w:r w:rsidRPr="006B0916">
        <w:br/>
        <w:t>Banks must hold an adequate stock of High Quality Liquid Assets, classified and valued in line with Basel III eligibility criteria, haircuts, and operational requirements.</w:t>
      </w:r>
    </w:p>
    <w:p w14:paraId="559D12EE" w14:textId="77777777" w:rsidR="006B0916" w:rsidRPr="006B0916" w:rsidRDefault="006B0916" w:rsidP="006B0916">
      <w:r w:rsidRPr="006B0916">
        <w:pict w14:anchorId="485E30B1">
          <v:rect id="_x0000_i1086" style="width:0;height:1.5pt" o:hralign="center" o:hrstd="t" o:hr="t" fillcolor="#a0a0a0" stroked="f"/>
        </w:pict>
      </w:r>
    </w:p>
    <w:p w14:paraId="05EC2382" w14:textId="77777777" w:rsidR="006B0916" w:rsidRPr="006B0916" w:rsidRDefault="006B0916" w:rsidP="006B0916">
      <w:pPr>
        <w:rPr>
          <w:b/>
          <w:bCs/>
        </w:rPr>
      </w:pPr>
      <w:r w:rsidRPr="006B0916">
        <w:rPr>
          <w:b/>
          <w:bCs/>
        </w:rPr>
        <w:t>Compliance Report</w:t>
      </w:r>
    </w:p>
    <w:p w14:paraId="4F1AED0B" w14:textId="77777777" w:rsidR="006B0916" w:rsidRPr="006B0916" w:rsidRDefault="006B0916" w:rsidP="006B0916">
      <w:r w:rsidRPr="006B0916">
        <w:t xml:space="preserve">The institution is </w:t>
      </w:r>
      <w:r w:rsidRPr="006B0916">
        <w:rPr>
          <w:b/>
          <w:bCs/>
        </w:rPr>
        <w:t>compliant</w:t>
      </w:r>
      <w:r w:rsidRPr="006B0916">
        <w:t xml:space="preserve"> with the quantitative requirements under </w:t>
      </w:r>
      <w:r w:rsidRPr="006B0916">
        <w:rPr>
          <w:b/>
          <w:bCs/>
        </w:rPr>
        <w:t>Basel III Liquidity Coverage Ratio and HQLA standards</w:t>
      </w:r>
      <w:r w:rsidRPr="006B0916">
        <w:t xml:space="preserve">, but the </w:t>
      </w:r>
      <w:r w:rsidRPr="006B0916">
        <w:rPr>
          <w:b/>
          <w:bCs/>
        </w:rPr>
        <w:t>quality of supporting explanation is insufficient</w:t>
      </w:r>
      <w:r w:rsidRPr="006B0916">
        <w:t>.</w:t>
      </w:r>
    </w:p>
    <w:p w14:paraId="5704AF63" w14:textId="77777777" w:rsidR="006B0916" w:rsidRPr="006B0916" w:rsidRDefault="006B0916" w:rsidP="006B0916">
      <w:r w:rsidRPr="006B0916">
        <w:t xml:space="preserve">In accordance with </w:t>
      </w:r>
      <w:r w:rsidRPr="006B0916">
        <w:rPr>
          <w:b/>
          <w:bCs/>
        </w:rPr>
        <w:t>Basel III LCR requirements</w:t>
      </w:r>
      <w:r w:rsidRPr="006B0916">
        <w:t>, the audit documentation reports the LCR ratio for the review period and confirms that the ratio remains above the regulatory minimum. The underlying inflows and outflows used in the calculation are numerically presented.</w:t>
      </w:r>
    </w:p>
    <w:p w14:paraId="69C9547C" w14:textId="77777777" w:rsidR="006B0916" w:rsidRPr="006B0916" w:rsidRDefault="006B0916" w:rsidP="006B0916">
      <w:r w:rsidRPr="006B0916">
        <w:t xml:space="preserve">However, the documentation provides </w:t>
      </w:r>
      <w:r w:rsidRPr="006B0916">
        <w:rPr>
          <w:b/>
          <w:bCs/>
        </w:rPr>
        <w:t>limited narrative explanation</w:t>
      </w:r>
      <w:r w:rsidRPr="006B0916">
        <w:t xml:space="preserve"> of the assumed 30-day stress scenario, key runoff rates, and liquidity stress drivers. The regulatory intent behind the LCR—namely the institution’s ability to withstand a severe liquidity shock—is not clearly articulated.</w:t>
      </w:r>
    </w:p>
    <w:p w14:paraId="6BBB0BFC" w14:textId="77777777" w:rsidR="006B0916" w:rsidRPr="006B0916" w:rsidRDefault="006B0916" w:rsidP="006B0916">
      <w:r w:rsidRPr="006B0916">
        <w:t xml:space="preserve">Similarly, while </w:t>
      </w:r>
      <w:r w:rsidRPr="006B0916">
        <w:rPr>
          <w:b/>
          <w:bCs/>
        </w:rPr>
        <w:t>HQLA balances are disclosed</w:t>
      </w:r>
      <w:r w:rsidRPr="006B0916">
        <w:t xml:space="preserve"> and classified by asset category, the documentation does not sufficiently explain asset eligibility rationale, operational constraints, or the application of regulatory haircuts as required under Basel III guidance.</w:t>
      </w:r>
    </w:p>
    <w:p w14:paraId="01C7B4D1" w14:textId="77777777" w:rsidR="006B0916" w:rsidRPr="006B0916" w:rsidRDefault="006B0916" w:rsidP="006B0916">
      <w:r w:rsidRPr="006B0916">
        <w:t xml:space="preserve">As a result, while numeric compliance is achieved, the documentation does not fully demonstrate alignment with the </w:t>
      </w:r>
      <w:r w:rsidRPr="006B0916">
        <w:rPr>
          <w:b/>
          <w:bCs/>
        </w:rPr>
        <w:t>spirit and intent</w:t>
      </w:r>
      <w:r w:rsidRPr="006B0916">
        <w:t xml:space="preserve"> of Basel III liquidity risk requirements.</w:t>
      </w:r>
    </w:p>
    <w:p w14:paraId="6570698D" w14:textId="77777777" w:rsidR="006B0916" w:rsidRPr="006B0916" w:rsidRDefault="006B0916" w:rsidP="006B0916">
      <w:r w:rsidRPr="006B0916">
        <w:pict w14:anchorId="607ED3A9">
          <v:rect id="_x0000_i1087" style="width:0;height:1.5pt" o:hralign="center" o:hrstd="t" o:hr="t" fillcolor="#a0a0a0" stroked="f"/>
        </w:pict>
      </w:r>
    </w:p>
    <w:p w14:paraId="248E25D6" w14:textId="77777777" w:rsidR="006B0916" w:rsidRPr="006B0916" w:rsidRDefault="006B0916" w:rsidP="006B0916">
      <w:pPr>
        <w:rPr>
          <w:b/>
          <w:bCs/>
        </w:rPr>
      </w:pPr>
      <w:r w:rsidRPr="006B0916">
        <w:rPr>
          <w:b/>
          <w:bCs/>
        </w:rPr>
        <w:t>Compliance Outcome</w:t>
      </w:r>
    </w:p>
    <w:p w14:paraId="7C4E4487" w14:textId="77777777" w:rsidR="006B0916" w:rsidRPr="006B0916" w:rsidRDefault="006B0916" w:rsidP="006B0916">
      <w:r w:rsidRPr="006B0916">
        <w:rPr>
          <w:rFonts w:ascii="Segoe UI Emoji" w:hAnsi="Segoe UI Emoji" w:cs="Segoe UI Emoji"/>
        </w:rPr>
        <w:t>⚠️</w:t>
      </w:r>
      <w:r w:rsidRPr="006B0916">
        <w:t xml:space="preserve"> </w:t>
      </w:r>
      <w:r w:rsidRPr="006B0916">
        <w:rPr>
          <w:b/>
          <w:bCs/>
        </w:rPr>
        <w:t>Compliant (Qualified)</w:t>
      </w:r>
      <w:r w:rsidRPr="006B0916">
        <w:br/>
      </w:r>
      <w:r w:rsidRPr="006B0916">
        <w:rPr>
          <w:i/>
          <w:iCs/>
        </w:rPr>
        <w:t>Quantitative thresholds met; explanatory documentation weak.</w:t>
      </w:r>
    </w:p>
    <w:p w14:paraId="07D13332" w14:textId="77777777" w:rsidR="006B0916" w:rsidRDefault="006B0916" w:rsidP="006B0916"/>
    <w:p w14:paraId="4E665E3D" w14:textId="77777777" w:rsidR="006B0916" w:rsidRDefault="006B0916" w:rsidP="006B0916"/>
    <w:p w14:paraId="30E94E3F" w14:textId="77777777" w:rsidR="006B0916" w:rsidRPr="006B0916" w:rsidRDefault="006B0916" w:rsidP="006B0916">
      <w:pPr>
        <w:rPr>
          <w:b/>
          <w:bCs/>
        </w:rPr>
      </w:pPr>
      <w:r w:rsidRPr="006B0916">
        <w:rPr>
          <w:b/>
          <w:bCs/>
        </w:rPr>
        <w:t>Scenario 3: Partial Compliance Across Interacting Basel III Requirements</w:t>
      </w:r>
    </w:p>
    <w:p w14:paraId="016B8DB3" w14:textId="77777777" w:rsidR="006B0916" w:rsidRPr="006B0916" w:rsidRDefault="006B0916" w:rsidP="006B0916">
      <w:pPr>
        <w:rPr>
          <w:b/>
          <w:bCs/>
        </w:rPr>
      </w:pPr>
      <w:r w:rsidRPr="006B0916">
        <w:rPr>
          <w:b/>
          <w:bCs/>
        </w:rPr>
        <w:t>Use Case</w:t>
      </w:r>
    </w:p>
    <w:p w14:paraId="1627B218" w14:textId="77777777" w:rsidR="006B0916" w:rsidRPr="006B0916" w:rsidRDefault="006B0916" w:rsidP="006B0916">
      <w:r w:rsidRPr="006B0916">
        <w:t>Model Audit Review – Capital Adequacy and Leverage Assessment</w:t>
      </w:r>
    </w:p>
    <w:p w14:paraId="0BE800B0" w14:textId="77777777" w:rsidR="006B0916" w:rsidRPr="006B0916" w:rsidRDefault="006B0916" w:rsidP="006B0916">
      <w:r w:rsidRPr="006B0916">
        <w:pict w14:anchorId="3D39452E">
          <v:rect id="_x0000_i1103" style="width:0;height:1.5pt" o:hralign="center" o:hrstd="t" o:hr="t" fillcolor="#a0a0a0" stroked="f"/>
        </w:pict>
      </w:r>
    </w:p>
    <w:p w14:paraId="5E6F273B" w14:textId="77777777" w:rsidR="006B0916" w:rsidRPr="006B0916" w:rsidRDefault="006B0916" w:rsidP="006B0916">
      <w:pPr>
        <w:rPr>
          <w:b/>
          <w:bCs/>
        </w:rPr>
      </w:pPr>
      <w:r w:rsidRPr="006B0916">
        <w:rPr>
          <w:b/>
          <w:bCs/>
        </w:rPr>
        <w:t>Regulations Considered</w:t>
      </w:r>
    </w:p>
    <w:p w14:paraId="6940E8F9" w14:textId="77777777" w:rsidR="006B0916" w:rsidRPr="006B0916" w:rsidRDefault="006B0916" w:rsidP="006B0916">
      <w:r w:rsidRPr="006B0916">
        <w:rPr>
          <w:b/>
          <w:bCs/>
        </w:rPr>
        <w:t>1. Basel III – Risk-Weighted Capital Framework</w:t>
      </w:r>
      <w:r w:rsidRPr="006B0916">
        <w:br/>
        <w:t>Banks must calculate risk-weighted assets (RWA) and capital ratios using approved methodologies, with clear documentation of risk weights, exposures, and model assumptions.</w:t>
      </w:r>
    </w:p>
    <w:p w14:paraId="7A367537" w14:textId="77777777" w:rsidR="006B0916" w:rsidRPr="006B0916" w:rsidRDefault="006B0916" w:rsidP="006B0916">
      <w:r w:rsidRPr="006B0916">
        <w:rPr>
          <w:b/>
          <w:bCs/>
        </w:rPr>
        <w:t>2. Basel III – Leverage Ratio (Non-Risk-Based Backstop)</w:t>
      </w:r>
      <w:r w:rsidRPr="006B0916">
        <w:br/>
        <w:t xml:space="preserve">Banks must maintain a minimum leverage ratio to constrain excessive balance-sheet expansion. The </w:t>
      </w:r>
      <w:r w:rsidRPr="006B0916">
        <w:lastRenderedPageBreak/>
        <w:t xml:space="preserve">leverage ratio acts as a </w:t>
      </w:r>
      <w:r w:rsidRPr="006B0916">
        <w:rPr>
          <w:i/>
          <w:iCs/>
        </w:rPr>
        <w:t>backstop</w:t>
      </w:r>
      <w:r w:rsidRPr="006B0916">
        <w:t xml:space="preserve"> to risk-based capital requirements and must be clearly explained as such.</w:t>
      </w:r>
    </w:p>
    <w:p w14:paraId="163BBA3E" w14:textId="77777777" w:rsidR="006B0916" w:rsidRPr="006B0916" w:rsidRDefault="006B0916" w:rsidP="006B0916">
      <w:r w:rsidRPr="006B0916">
        <w:pict w14:anchorId="591FB82C">
          <v:rect id="_x0000_i1104" style="width:0;height:1.5pt" o:hralign="center" o:hrstd="t" o:hr="t" fillcolor="#a0a0a0" stroked="f"/>
        </w:pict>
      </w:r>
    </w:p>
    <w:p w14:paraId="0C64885C" w14:textId="77777777" w:rsidR="006B0916" w:rsidRPr="006B0916" w:rsidRDefault="006B0916" w:rsidP="006B0916">
      <w:pPr>
        <w:rPr>
          <w:b/>
          <w:bCs/>
        </w:rPr>
      </w:pPr>
      <w:r w:rsidRPr="006B0916">
        <w:rPr>
          <w:b/>
          <w:bCs/>
        </w:rPr>
        <w:t>Compliance Report</w:t>
      </w:r>
    </w:p>
    <w:p w14:paraId="07CFEEDE" w14:textId="77777777" w:rsidR="006B0916" w:rsidRPr="006B0916" w:rsidRDefault="006B0916" w:rsidP="006B0916">
      <w:r w:rsidRPr="006B0916">
        <w:t xml:space="preserve">The institution is </w:t>
      </w:r>
      <w:r w:rsidRPr="006B0916">
        <w:rPr>
          <w:b/>
          <w:bCs/>
        </w:rPr>
        <w:t>partially compliant</w:t>
      </w:r>
      <w:r w:rsidRPr="006B0916">
        <w:t xml:space="preserve"> with Basel III capital requirements.</w:t>
      </w:r>
    </w:p>
    <w:p w14:paraId="4F0B6C07" w14:textId="77777777" w:rsidR="006B0916" w:rsidRPr="006B0916" w:rsidRDefault="006B0916" w:rsidP="006B0916">
      <w:r w:rsidRPr="006B0916">
        <w:t xml:space="preserve">In line with the </w:t>
      </w:r>
      <w:r w:rsidRPr="006B0916">
        <w:rPr>
          <w:b/>
          <w:bCs/>
        </w:rPr>
        <w:t>Basel III risk-weighted capital framework</w:t>
      </w:r>
      <w:r w:rsidRPr="006B0916">
        <w:t>, the audit documentation provides a clear explanation of RWA calculations, capital ratios, and model assumptions. Exposure classes, risk weights, and aggregation logic are well documented and traceable to regulatory definitions. This demonstrates strong compliance with risk-based capital requirements.</w:t>
      </w:r>
    </w:p>
    <w:p w14:paraId="043C16EC" w14:textId="77777777" w:rsidR="006B0916" w:rsidRPr="006B0916" w:rsidRDefault="006B0916" w:rsidP="006B0916">
      <w:r w:rsidRPr="006B0916">
        <w:t xml:space="preserve">However, while the </w:t>
      </w:r>
      <w:r w:rsidRPr="006B0916">
        <w:rPr>
          <w:b/>
          <w:bCs/>
        </w:rPr>
        <w:t>leverage ratio is reported</w:t>
      </w:r>
      <w:r w:rsidRPr="006B0916">
        <w:t xml:space="preserve"> and remains above the Basel III minimum threshold, the documentation does </w:t>
      </w:r>
      <w:r w:rsidRPr="006B0916">
        <w:rPr>
          <w:b/>
          <w:bCs/>
        </w:rPr>
        <w:t>not adequately explain the regulatory purpose of the leverage ratio</w:t>
      </w:r>
      <w:r w:rsidRPr="006B0916">
        <w:t xml:space="preserve"> as a non-risk-based backstop. The narrative treats the leverage ratio as an extension of risk-weighted capital metrics, without clarifying its role in limiting model risk and balance-sheet leverage.</w:t>
      </w:r>
    </w:p>
    <w:p w14:paraId="10480F10" w14:textId="77777777" w:rsidR="006B0916" w:rsidRPr="006B0916" w:rsidRDefault="006B0916" w:rsidP="006B0916">
      <w:r w:rsidRPr="006B0916">
        <w:t>This omission weakens alignment with Basel III’s intent, which explicitly requires the leverage ratio to complement—and not replicate—risk-based capital measures.</w:t>
      </w:r>
    </w:p>
    <w:p w14:paraId="77CEF954" w14:textId="77777777" w:rsidR="006B0916" w:rsidRDefault="006B0916" w:rsidP="006B0916"/>
    <w:p w14:paraId="0A820C9D" w14:textId="77777777" w:rsidR="006B0916" w:rsidRDefault="006B0916" w:rsidP="006B0916"/>
    <w:p w14:paraId="71E1D94B" w14:textId="77777777" w:rsidR="006B0916" w:rsidRPr="006B0916" w:rsidRDefault="006B0916" w:rsidP="006B0916">
      <w:pPr>
        <w:rPr>
          <w:b/>
          <w:bCs/>
        </w:rPr>
      </w:pPr>
      <w:r w:rsidRPr="006B0916">
        <w:rPr>
          <w:b/>
          <w:bCs/>
        </w:rPr>
        <w:t>Scenario 4: Non-Compliance Due to Missing Basel III Regulatory Coverage</w:t>
      </w:r>
    </w:p>
    <w:p w14:paraId="005A0617" w14:textId="77777777" w:rsidR="006B0916" w:rsidRPr="006B0916" w:rsidRDefault="006B0916" w:rsidP="006B0916">
      <w:pPr>
        <w:rPr>
          <w:b/>
          <w:bCs/>
        </w:rPr>
      </w:pPr>
      <w:r w:rsidRPr="006B0916">
        <w:rPr>
          <w:b/>
          <w:bCs/>
        </w:rPr>
        <w:t>Use Case</w:t>
      </w:r>
    </w:p>
    <w:p w14:paraId="18A84CF1" w14:textId="77777777" w:rsidR="006B0916" w:rsidRPr="006B0916" w:rsidRDefault="006B0916" w:rsidP="006B0916">
      <w:r w:rsidRPr="006B0916">
        <w:t>Model Audit Review – Capital Buffers and Macro-Prudential Controls</w:t>
      </w:r>
    </w:p>
    <w:p w14:paraId="0B9C6FF4" w14:textId="77777777" w:rsidR="006B0916" w:rsidRPr="006B0916" w:rsidRDefault="006B0916" w:rsidP="006B0916">
      <w:r w:rsidRPr="006B0916">
        <w:pict w14:anchorId="47D1286D">
          <v:rect id="_x0000_i1119" style="width:0;height:1.5pt" o:hralign="center" o:hrstd="t" o:hr="t" fillcolor="#a0a0a0" stroked="f"/>
        </w:pict>
      </w:r>
    </w:p>
    <w:p w14:paraId="0B7FA08B" w14:textId="77777777" w:rsidR="006B0916" w:rsidRPr="006B0916" w:rsidRDefault="006B0916" w:rsidP="006B0916">
      <w:pPr>
        <w:rPr>
          <w:b/>
          <w:bCs/>
        </w:rPr>
      </w:pPr>
      <w:r w:rsidRPr="006B0916">
        <w:rPr>
          <w:b/>
          <w:bCs/>
        </w:rPr>
        <w:t>Regulations Considered</w:t>
      </w:r>
    </w:p>
    <w:p w14:paraId="3A3EA34F" w14:textId="77777777" w:rsidR="006B0916" w:rsidRPr="006B0916" w:rsidRDefault="006B0916" w:rsidP="006B0916">
      <w:r w:rsidRPr="006B0916">
        <w:rPr>
          <w:b/>
          <w:bCs/>
        </w:rPr>
        <w:t>1. Basel III – Countercyclical Capital Buffer (</w:t>
      </w:r>
      <w:proofErr w:type="spellStart"/>
      <w:r w:rsidRPr="006B0916">
        <w:rPr>
          <w:b/>
          <w:bCs/>
        </w:rPr>
        <w:t>CCyB</w:t>
      </w:r>
      <w:proofErr w:type="spellEnd"/>
      <w:r w:rsidRPr="006B0916">
        <w:rPr>
          <w:b/>
          <w:bCs/>
        </w:rPr>
        <w:t>)</w:t>
      </w:r>
      <w:r w:rsidRPr="006B0916">
        <w:br/>
        <w:t>Banks must assess and apply a countercyclical capital buffer to protect the banking system against periods of excessive credit growth. Documentation should explain the buffer framework, jurisdictional applicability, and how macro-economic conditions are considered.</w:t>
      </w:r>
    </w:p>
    <w:p w14:paraId="100BDD2F" w14:textId="77777777" w:rsidR="006B0916" w:rsidRPr="006B0916" w:rsidRDefault="006B0916" w:rsidP="006B0916">
      <w:r w:rsidRPr="006B0916">
        <w:rPr>
          <w:b/>
          <w:bCs/>
        </w:rPr>
        <w:t>2. Basel III – Procyclicality Mitigation Principles</w:t>
      </w:r>
      <w:r w:rsidRPr="006B0916">
        <w:br/>
        <w:t>Basel III introduces capital buffers and macro-prudential tools to reduce procyclicality and ensure that banks build resilience during economic upswings. Institutions are expected to demonstrate awareness of economic cycles and stress periods.</w:t>
      </w:r>
    </w:p>
    <w:p w14:paraId="323104B4" w14:textId="77777777" w:rsidR="006B0916" w:rsidRPr="006B0916" w:rsidRDefault="006B0916" w:rsidP="006B0916">
      <w:r w:rsidRPr="006B0916">
        <w:pict w14:anchorId="3E08C7B2">
          <v:rect id="_x0000_i1120" style="width:0;height:1.5pt" o:hralign="center" o:hrstd="t" o:hr="t" fillcolor="#a0a0a0" stroked="f"/>
        </w:pict>
      </w:r>
    </w:p>
    <w:p w14:paraId="1D8E42D0" w14:textId="77777777" w:rsidR="006B0916" w:rsidRPr="006B0916" w:rsidRDefault="006B0916" w:rsidP="006B0916">
      <w:pPr>
        <w:rPr>
          <w:b/>
          <w:bCs/>
        </w:rPr>
      </w:pPr>
      <w:r w:rsidRPr="006B0916">
        <w:rPr>
          <w:b/>
          <w:bCs/>
        </w:rPr>
        <w:t>Compliance Report</w:t>
      </w:r>
    </w:p>
    <w:p w14:paraId="75A5DBBC" w14:textId="77777777" w:rsidR="006B0916" w:rsidRPr="006B0916" w:rsidRDefault="006B0916" w:rsidP="006B0916">
      <w:r w:rsidRPr="006B0916">
        <w:t xml:space="preserve">The institution is </w:t>
      </w:r>
      <w:r w:rsidRPr="006B0916">
        <w:rPr>
          <w:b/>
          <w:bCs/>
        </w:rPr>
        <w:t>non-compliant</w:t>
      </w:r>
      <w:r w:rsidRPr="006B0916">
        <w:t xml:space="preserve"> with Basel III requirements related to countercyclicality and macro-prudential capital buffers.</w:t>
      </w:r>
    </w:p>
    <w:p w14:paraId="76EBA1A5" w14:textId="77777777" w:rsidR="006B0916" w:rsidRPr="006B0916" w:rsidRDefault="006B0916" w:rsidP="006B0916">
      <w:r w:rsidRPr="006B0916">
        <w:t xml:space="preserve">While the audit documentation presents current capital ratios and confirms compliance with minimum capital requirements, it </w:t>
      </w:r>
      <w:r w:rsidRPr="006B0916">
        <w:rPr>
          <w:b/>
          <w:bCs/>
        </w:rPr>
        <w:t xml:space="preserve">does not contain any discussion of the Countercyclical Capital </w:t>
      </w:r>
      <w:r w:rsidRPr="006B0916">
        <w:rPr>
          <w:b/>
          <w:bCs/>
        </w:rPr>
        <w:lastRenderedPageBreak/>
        <w:t>Buffer framework</w:t>
      </w:r>
      <w:r w:rsidRPr="006B0916">
        <w:t xml:space="preserve">. There is no reference to applicable </w:t>
      </w:r>
      <w:proofErr w:type="spellStart"/>
      <w:r w:rsidRPr="006B0916">
        <w:t>CCyB</w:t>
      </w:r>
      <w:proofErr w:type="spellEnd"/>
      <w:r w:rsidRPr="006B0916">
        <w:t xml:space="preserve"> rates, jurisdictional activation, or the institution’s assessment of credit cycle conditions.</w:t>
      </w:r>
    </w:p>
    <w:p w14:paraId="48A53BF0" w14:textId="77777777" w:rsidR="006B0916" w:rsidRPr="006B0916" w:rsidRDefault="006B0916" w:rsidP="006B0916">
      <w:r w:rsidRPr="006B0916">
        <w:t xml:space="preserve">In addition, the documentation </w:t>
      </w:r>
      <w:r w:rsidRPr="006B0916">
        <w:rPr>
          <w:b/>
          <w:bCs/>
        </w:rPr>
        <w:t>does not address Basel III’s procyclicality mitigation principles</w:t>
      </w:r>
      <w:r w:rsidRPr="006B0916">
        <w:t>. There is no explanation of how capital planning considers economic cycles, stress periods, or buffer usability during downturns.</w:t>
      </w:r>
    </w:p>
    <w:p w14:paraId="05F94FEA" w14:textId="77777777" w:rsidR="006B0916" w:rsidRPr="006B0916" w:rsidRDefault="006B0916" w:rsidP="006B0916">
      <w:r w:rsidRPr="006B0916">
        <w:t xml:space="preserve">The absence of these discussions indicates that key Basel III regulatory expectations are </w:t>
      </w:r>
      <w:r w:rsidRPr="006B0916">
        <w:rPr>
          <w:b/>
          <w:bCs/>
        </w:rPr>
        <w:t>not covered at all</w:t>
      </w:r>
      <w:r w:rsidRPr="006B0916">
        <w:t xml:space="preserve"> in the audit documentation. This represents a material gap, as macro-prudential buffers are a core component of the Basel III capital framework.</w:t>
      </w:r>
    </w:p>
    <w:p w14:paraId="0E44981F" w14:textId="77777777" w:rsidR="006B0916" w:rsidRDefault="006B0916" w:rsidP="006B0916"/>
    <w:p w14:paraId="4754FA18" w14:textId="77777777" w:rsidR="006B0916" w:rsidRPr="006B0916" w:rsidRDefault="006B0916" w:rsidP="006B0916">
      <w:pPr>
        <w:rPr>
          <w:b/>
          <w:bCs/>
        </w:rPr>
      </w:pPr>
      <w:r w:rsidRPr="006B0916">
        <w:rPr>
          <w:b/>
          <w:bCs/>
        </w:rPr>
        <w:t>Scenario 5: Ambiguous Documentation Requiring Human Judgment</w:t>
      </w:r>
    </w:p>
    <w:p w14:paraId="220B55DE" w14:textId="77777777" w:rsidR="006B0916" w:rsidRPr="006B0916" w:rsidRDefault="006B0916" w:rsidP="006B0916">
      <w:pPr>
        <w:rPr>
          <w:b/>
          <w:bCs/>
        </w:rPr>
      </w:pPr>
      <w:r w:rsidRPr="006B0916">
        <w:rPr>
          <w:b/>
          <w:bCs/>
        </w:rPr>
        <w:t>Use Case</w:t>
      </w:r>
    </w:p>
    <w:p w14:paraId="27E9F5C0" w14:textId="77777777" w:rsidR="006B0916" w:rsidRPr="006B0916" w:rsidRDefault="006B0916" w:rsidP="006B0916">
      <w:r w:rsidRPr="006B0916">
        <w:t>Model Audit Review – Stress Testing and Capital Planning Governance</w:t>
      </w:r>
    </w:p>
    <w:p w14:paraId="558580E5" w14:textId="77777777" w:rsidR="006B0916" w:rsidRPr="006B0916" w:rsidRDefault="006B0916" w:rsidP="006B0916">
      <w:r w:rsidRPr="006B0916">
        <w:pict w14:anchorId="702E8BBE">
          <v:rect id="_x0000_i1135" style="width:0;height:1.5pt" o:hralign="center" o:hrstd="t" o:hr="t" fillcolor="#a0a0a0" stroked="f"/>
        </w:pict>
      </w:r>
    </w:p>
    <w:p w14:paraId="7DAEA93B" w14:textId="77777777" w:rsidR="006B0916" w:rsidRPr="006B0916" w:rsidRDefault="006B0916" w:rsidP="006B0916">
      <w:pPr>
        <w:rPr>
          <w:b/>
          <w:bCs/>
        </w:rPr>
      </w:pPr>
      <w:r w:rsidRPr="006B0916">
        <w:rPr>
          <w:b/>
          <w:bCs/>
        </w:rPr>
        <w:t>Regulations Considered</w:t>
      </w:r>
    </w:p>
    <w:p w14:paraId="309F26AF" w14:textId="77777777" w:rsidR="006B0916" w:rsidRPr="006B0916" w:rsidRDefault="006B0916" w:rsidP="006B0916">
      <w:r w:rsidRPr="006B0916">
        <w:rPr>
          <w:b/>
          <w:bCs/>
        </w:rPr>
        <w:t>1. Basel III – Stress Testing Expectations</w:t>
      </w:r>
      <w:r w:rsidRPr="006B0916">
        <w:br/>
        <w:t>Banks are expected to conduct stress testing to assess capital adequacy under adverse scenarios. Documentation should clearly describe stress scenarios, assumptions, severity, and how results are used in capital planning.</w:t>
      </w:r>
    </w:p>
    <w:p w14:paraId="649BD0ED" w14:textId="77777777" w:rsidR="006B0916" w:rsidRPr="006B0916" w:rsidRDefault="006B0916" w:rsidP="006B0916">
      <w:r w:rsidRPr="006B0916">
        <w:rPr>
          <w:b/>
          <w:bCs/>
        </w:rPr>
        <w:t>2. Basel III – Capital Planning and Governance</w:t>
      </w:r>
      <w:r w:rsidRPr="006B0916">
        <w:br/>
        <w:t>Capital planning processes must be supported by strong governance, including senior management oversight, documented decision-making, and integration of stress testing outcomes into capital decisions.</w:t>
      </w:r>
    </w:p>
    <w:p w14:paraId="48AB0DA2" w14:textId="77777777" w:rsidR="006B0916" w:rsidRPr="006B0916" w:rsidRDefault="006B0916" w:rsidP="006B0916">
      <w:r w:rsidRPr="006B0916">
        <w:pict w14:anchorId="44B3F89A">
          <v:rect id="_x0000_i1136" style="width:0;height:1.5pt" o:hralign="center" o:hrstd="t" o:hr="t" fillcolor="#a0a0a0" stroked="f"/>
        </w:pict>
      </w:r>
    </w:p>
    <w:p w14:paraId="6536CB27" w14:textId="77777777" w:rsidR="006B0916" w:rsidRPr="006B0916" w:rsidRDefault="006B0916" w:rsidP="006B0916">
      <w:pPr>
        <w:rPr>
          <w:b/>
          <w:bCs/>
        </w:rPr>
      </w:pPr>
      <w:r w:rsidRPr="006B0916">
        <w:rPr>
          <w:b/>
          <w:bCs/>
        </w:rPr>
        <w:t>Compliance Report</w:t>
      </w:r>
    </w:p>
    <w:p w14:paraId="021C8611" w14:textId="77777777" w:rsidR="006B0916" w:rsidRPr="006B0916" w:rsidRDefault="006B0916" w:rsidP="006B0916">
      <w:r w:rsidRPr="006B0916">
        <w:t xml:space="preserve">The compliance status </w:t>
      </w:r>
      <w:r w:rsidRPr="006B0916">
        <w:rPr>
          <w:b/>
          <w:bCs/>
        </w:rPr>
        <w:t>cannot be conclusively determined</w:t>
      </w:r>
      <w:r w:rsidRPr="006B0916">
        <w:t xml:space="preserve"> based on the current audit documentation and therefore </w:t>
      </w:r>
      <w:r w:rsidRPr="006B0916">
        <w:rPr>
          <w:b/>
          <w:bCs/>
        </w:rPr>
        <w:t>requires human review</w:t>
      </w:r>
      <w:r w:rsidRPr="006B0916">
        <w:t>.</w:t>
      </w:r>
    </w:p>
    <w:p w14:paraId="1B4FE70F" w14:textId="77777777" w:rsidR="006B0916" w:rsidRPr="006B0916" w:rsidRDefault="006B0916" w:rsidP="006B0916">
      <w:r w:rsidRPr="006B0916">
        <w:t xml:space="preserve">The audit documentation references the existence of stress testing exercises and states that stress testing is performed as part of the institution’s capital planning process. However, the </w:t>
      </w:r>
      <w:r w:rsidRPr="006B0916">
        <w:rPr>
          <w:b/>
          <w:bCs/>
        </w:rPr>
        <w:t>description of stress scenarios is high-level and non-specific</w:t>
      </w:r>
      <w:r w:rsidRPr="006B0916">
        <w:t>, with limited detail on severity, macroeconomic assumptions, or calibration methodology.</w:t>
      </w:r>
    </w:p>
    <w:p w14:paraId="635FFCB9" w14:textId="77777777" w:rsidR="006B0916" w:rsidRPr="006B0916" w:rsidRDefault="006B0916" w:rsidP="006B0916">
      <w:r w:rsidRPr="006B0916">
        <w:t xml:space="preserve">Similarly, while governance forums are mentioned, the documentation does </w:t>
      </w:r>
      <w:r w:rsidRPr="006B0916">
        <w:rPr>
          <w:b/>
          <w:bCs/>
        </w:rPr>
        <w:t>not clearly demonstrate how stress testing results influence capital planning decisions</w:t>
      </w:r>
      <w:r w:rsidRPr="006B0916">
        <w:t>. Evidence of senior management challenge, decision logs, or documented actions taken in response to stress outcomes is limited or unclear.</w:t>
      </w:r>
    </w:p>
    <w:p w14:paraId="746F209E" w14:textId="77777777" w:rsidR="006B0916" w:rsidRPr="006B0916" w:rsidRDefault="006B0916" w:rsidP="006B0916">
      <w:r w:rsidRPr="006B0916">
        <w:t xml:space="preserve">As a result, although there are </w:t>
      </w:r>
      <w:r w:rsidRPr="006B0916">
        <w:rPr>
          <w:b/>
          <w:bCs/>
        </w:rPr>
        <w:t>indications of compliance</w:t>
      </w:r>
      <w:r w:rsidRPr="006B0916">
        <w:t>, the lack of specificity and traceability prevents a definitive assessment against Basel III expectations.</w:t>
      </w:r>
    </w:p>
    <w:p w14:paraId="7F592960" w14:textId="77777777" w:rsidR="006B0916" w:rsidRDefault="006B0916" w:rsidP="006B0916"/>
    <w:p w14:paraId="0F62B0A0" w14:textId="77777777" w:rsidR="006B0916" w:rsidRDefault="006B0916" w:rsidP="006B0916"/>
    <w:p w14:paraId="4B27285E" w14:textId="77777777" w:rsidR="006B0916" w:rsidRPr="006B0916" w:rsidRDefault="006B0916" w:rsidP="006B0916">
      <w:pPr>
        <w:rPr>
          <w:b/>
          <w:bCs/>
        </w:rPr>
      </w:pPr>
      <w:r w:rsidRPr="006B0916">
        <w:rPr>
          <w:b/>
          <w:bCs/>
        </w:rPr>
        <w:lastRenderedPageBreak/>
        <w:t>Scenario 6: Technically Compliant but Conceptually Misaligned with Basel III Intent</w:t>
      </w:r>
    </w:p>
    <w:p w14:paraId="38448A45" w14:textId="77777777" w:rsidR="006B0916" w:rsidRPr="006B0916" w:rsidRDefault="006B0916" w:rsidP="006B0916">
      <w:pPr>
        <w:rPr>
          <w:b/>
          <w:bCs/>
        </w:rPr>
      </w:pPr>
      <w:r w:rsidRPr="006B0916">
        <w:rPr>
          <w:b/>
          <w:bCs/>
        </w:rPr>
        <w:t>Use Case</w:t>
      </w:r>
    </w:p>
    <w:p w14:paraId="38795707" w14:textId="77777777" w:rsidR="006B0916" w:rsidRPr="006B0916" w:rsidRDefault="006B0916" w:rsidP="006B0916">
      <w:r w:rsidRPr="006B0916">
        <w:t>Model Audit Review – Leverage Ratio Interpretation and Capital Framework Understanding</w:t>
      </w:r>
    </w:p>
    <w:p w14:paraId="220C78D8" w14:textId="77777777" w:rsidR="006B0916" w:rsidRPr="006B0916" w:rsidRDefault="006B0916" w:rsidP="006B0916">
      <w:r w:rsidRPr="006B0916">
        <w:pict w14:anchorId="57482302">
          <v:rect id="_x0000_i1151" style="width:0;height:1.5pt" o:hralign="center" o:hrstd="t" o:hr="t" fillcolor="#a0a0a0" stroked="f"/>
        </w:pict>
      </w:r>
    </w:p>
    <w:p w14:paraId="5384AD04" w14:textId="77777777" w:rsidR="006B0916" w:rsidRPr="006B0916" w:rsidRDefault="006B0916" w:rsidP="006B0916">
      <w:pPr>
        <w:rPr>
          <w:b/>
          <w:bCs/>
        </w:rPr>
      </w:pPr>
      <w:r w:rsidRPr="006B0916">
        <w:rPr>
          <w:b/>
          <w:bCs/>
        </w:rPr>
        <w:t>Regulations Considered</w:t>
      </w:r>
    </w:p>
    <w:p w14:paraId="23EE5549" w14:textId="77777777" w:rsidR="006B0916" w:rsidRPr="006B0916" w:rsidRDefault="006B0916" w:rsidP="006B0916">
      <w:r w:rsidRPr="006B0916">
        <w:rPr>
          <w:b/>
          <w:bCs/>
        </w:rPr>
        <w:t>1. Basel III – Leverage Ratio (Non-Risk-Based Backstop)</w:t>
      </w:r>
      <w:r w:rsidRPr="006B0916">
        <w:br/>
        <w:t xml:space="preserve">Basel III requires banks to maintain a minimum leverage ratio to constrain excessive balance-sheet leverage and model risk. The leverage ratio is explicitly designed as a </w:t>
      </w:r>
      <w:r w:rsidRPr="006B0916">
        <w:rPr>
          <w:i/>
          <w:iCs/>
        </w:rPr>
        <w:t>non-risk-based</w:t>
      </w:r>
      <w:r w:rsidRPr="006B0916">
        <w:t xml:space="preserve"> measure and must act as a backstop to risk-weighted capital requirements.</w:t>
      </w:r>
    </w:p>
    <w:p w14:paraId="094A9B67" w14:textId="77777777" w:rsidR="006B0916" w:rsidRPr="006B0916" w:rsidRDefault="006B0916" w:rsidP="006B0916">
      <w:r w:rsidRPr="006B0916">
        <w:rPr>
          <w:b/>
          <w:bCs/>
        </w:rPr>
        <w:t>2. Basel III – Risk Sensitivity and Model Risk Mitigation Principles</w:t>
      </w:r>
      <w:r w:rsidRPr="006B0916">
        <w:br/>
        <w:t>Basel III emphasizes that reliance on internal risk models must be balanced with simple, non-risk-based measures to mitigate model risk and ensure capital adequacy under stressed or mis-specified conditions.</w:t>
      </w:r>
    </w:p>
    <w:p w14:paraId="0E3875A5" w14:textId="77777777" w:rsidR="006B0916" w:rsidRPr="006B0916" w:rsidRDefault="006B0916" w:rsidP="006B0916">
      <w:r w:rsidRPr="006B0916">
        <w:pict w14:anchorId="0573EBBB">
          <v:rect id="_x0000_i1152" style="width:0;height:1.5pt" o:hralign="center" o:hrstd="t" o:hr="t" fillcolor="#a0a0a0" stroked="f"/>
        </w:pict>
      </w:r>
    </w:p>
    <w:p w14:paraId="2705E966" w14:textId="77777777" w:rsidR="006B0916" w:rsidRPr="006B0916" w:rsidRDefault="006B0916" w:rsidP="006B0916">
      <w:pPr>
        <w:rPr>
          <w:b/>
          <w:bCs/>
        </w:rPr>
      </w:pPr>
      <w:r w:rsidRPr="006B0916">
        <w:rPr>
          <w:b/>
          <w:bCs/>
        </w:rPr>
        <w:t>Compliance Report</w:t>
      </w:r>
    </w:p>
    <w:p w14:paraId="28D7B936" w14:textId="77777777" w:rsidR="006B0916" w:rsidRPr="006B0916" w:rsidRDefault="006B0916" w:rsidP="006B0916">
      <w:r w:rsidRPr="006B0916">
        <w:t xml:space="preserve">The institution is </w:t>
      </w:r>
      <w:r w:rsidRPr="006B0916">
        <w:rPr>
          <w:b/>
          <w:bCs/>
        </w:rPr>
        <w:t>non-compliant</w:t>
      </w:r>
      <w:r w:rsidRPr="006B0916">
        <w:t xml:space="preserve"> with Basel III requirements due to </w:t>
      </w:r>
      <w:r w:rsidRPr="006B0916">
        <w:rPr>
          <w:b/>
          <w:bCs/>
        </w:rPr>
        <w:t>conceptual misinterpretation</w:t>
      </w:r>
      <w:r w:rsidRPr="006B0916">
        <w:t>, despite meeting the numerical leverage ratio threshold.</w:t>
      </w:r>
    </w:p>
    <w:p w14:paraId="76E90735" w14:textId="77777777" w:rsidR="006B0916" w:rsidRPr="006B0916" w:rsidRDefault="006B0916" w:rsidP="006B0916">
      <w:r w:rsidRPr="006B0916">
        <w:t xml:space="preserve">The audit documentation reports a leverage ratio above the Basel III minimum and concludes compliance based solely on this numeric outcome. However, the accompanying narrative </w:t>
      </w:r>
      <w:r w:rsidRPr="006B0916">
        <w:rPr>
          <w:b/>
          <w:bCs/>
        </w:rPr>
        <w:t>incorrectly characterizes the leverage ratio as a risk-sensitive measure</w:t>
      </w:r>
      <w:r w:rsidRPr="006B0916">
        <w:t>, aligning it with risk-weighted capital metrics.</w:t>
      </w:r>
    </w:p>
    <w:p w14:paraId="64C67E1A" w14:textId="77777777" w:rsidR="006B0916" w:rsidRPr="006B0916" w:rsidRDefault="006B0916" w:rsidP="006B0916">
      <w:r w:rsidRPr="006B0916">
        <w:t xml:space="preserve">This interpretation conflicts with Basel III’s explicit intent that the leverage ratio function as a </w:t>
      </w:r>
      <w:r w:rsidRPr="006B0916">
        <w:rPr>
          <w:b/>
          <w:bCs/>
        </w:rPr>
        <w:t>non-risk-based backstop</w:t>
      </w:r>
      <w:r w:rsidRPr="006B0916">
        <w:t xml:space="preserve"> to constrain balance-sheet growth and limit excessive reliance on internal risk models. The documentation does not explain how the leverage ratio complements risk-based capital measures or mitigates model risk.</w:t>
      </w:r>
    </w:p>
    <w:p w14:paraId="2DE0A368" w14:textId="77777777" w:rsidR="006B0916" w:rsidRPr="006B0916" w:rsidRDefault="006B0916" w:rsidP="006B0916">
      <w:r w:rsidRPr="006B0916">
        <w:t>As a result, while the quantitative requirement is met, the documentation fails to demonstrate proper understanding and application of the regulatory framework.</w:t>
      </w:r>
    </w:p>
    <w:p w14:paraId="2A88237F" w14:textId="45CA1782" w:rsidR="006B0916" w:rsidRPr="006B0916" w:rsidRDefault="006B0916" w:rsidP="006B0916">
      <w:r w:rsidRPr="006B0916">
        <w:rPr>
          <w:b/>
          <w:bCs/>
        </w:rPr>
        <w:t>Mitigation Plan:</w:t>
      </w:r>
      <w:r w:rsidRPr="006B0916">
        <w:br/>
        <w:t xml:space="preserve">Update the model audit documentation to clearly explain the leverage ratio as a </w:t>
      </w:r>
      <w:r w:rsidRPr="006B0916">
        <w:rPr>
          <w:b/>
          <w:bCs/>
        </w:rPr>
        <w:t>non-risk-based backstop</w:t>
      </w:r>
      <w:r w:rsidRPr="006B0916">
        <w:t xml:space="preserve"> to risk-weighted capital measures, in line with Basel III intent. Add explicit regulatory references and subject the revised narrative to </w:t>
      </w:r>
      <w:r w:rsidRPr="006B0916">
        <w:rPr>
          <w:b/>
          <w:bCs/>
        </w:rPr>
        <w:t>independent Model Risk review</w:t>
      </w:r>
      <w:r w:rsidRPr="006B0916">
        <w:t xml:space="preserve"> before final sign-off to prevent recurrence.</w:t>
      </w:r>
    </w:p>
    <w:sectPr w:rsidR="006B0916" w:rsidRPr="006B0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59"/>
    <w:rsid w:val="00080E9D"/>
    <w:rsid w:val="000951BA"/>
    <w:rsid w:val="00104052"/>
    <w:rsid w:val="00114759"/>
    <w:rsid w:val="00240660"/>
    <w:rsid w:val="00355717"/>
    <w:rsid w:val="00372871"/>
    <w:rsid w:val="003C2899"/>
    <w:rsid w:val="004975A2"/>
    <w:rsid w:val="004D7686"/>
    <w:rsid w:val="006B0916"/>
    <w:rsid w:val="006B4F39"/>
    <w:rsid w:val="00714759"/>
    <w:rsid w:val="007924FB"/>
    <w:rsid w:val="00986D8C"/>
    <w:rsid w:val="009955A9"/>
    <w:rsid w:val="00B53AA4"/>
    <w:rsid w:val="00CB1C60"/>
    <w:rsid w:val="00D75A9E"/>
    <w:rsid w:val="00DF2E98"/>
    <w:rsid w:val="00F90A1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5FF4"/>
  <w15:chartTrackingRefBased/>
  <w15:docId w15:val="{CD1EE969-7C5E-4A29-B781-BA9AEAD2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759"/>
    <w:rPr>
      <w:rFonts w:eastAsiaTheme="majorEastAsia" w:cstheme="majorBidi"/>
      <w:color w:val="272727" w:themeColor="text1" w:themeTint="D8"/>
    </w:rPr>
  </w:style>
  <w:style w:type="paragraph" w:styleId="Title">
    <w:name w:val="Title"/>
    <w:basedOn w:val="Normal"/>
    <w:next w:val="Normal"/>
    <w:link w:val="TitleChar"/>
    <w:uiPriority w:val="10"/>
    <w:qFormat/>
    <w:rsid w:val="00714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759"/>
    <w:pPr>
      <w:spacing w:before="160"/>
      <w:jc w:val="center"/>
    </w:pPr>
    <w:rPr>
      <w:i/>
      <w:iCs/>
      <w:color w:val="404040" w:themeColor="text1" w:themeTint="BF"/>
    </w:rPr>
  </w:style>
  <w:style w:type="character" w:customStyle="1" w:styleId="QuoteChar">
    <w:name w:val="Quote Char"/>
    <w:basedOn w:val="DefaultParagraphFont"/>
    <w:link w:val="Quote"/>
    <w:uiPriority w:val="29"/>
    <w:rsid w:val="00714759"/>
    <w:rPr>
      <w:i/>
      <w:iCs/>
      <w:color w:val="404040" w:themeColor="text1" w:themeTint="BF"/>
    </w:rPr>
  </w:style>
  <w:style w:type="paragraph" w:styleId="ListParagraph">
    <w:name w:val="List Paragraph"/>
    <w:basedOn w:val="Normal"/>
    <w:uiPriority w:val="34"/>
    <w:qFormat/>
    <w:rsid w:val="00714759"/>
    <w:pPr>
      <w:ind w:left="720"/>
      <w:contextualSpacing/>
    </w:pPr>
  </w:style>
  <w:style w:type="character" w:styleId="IntenseEmphasis">
    <w:name w:val="Intense Emphasis"/>
    <w:basedOn w:val="DefaultParagraphFont"/>
    <w:uiPriority w:val="21"/>
    <w:qFormat/>
    <w:rsid w:val="00714759"/>
    <w:rPr>
      <w:i/>
      <w:iCs/>
      <w:color w:val="2F5496" w:themeColor="accent1" w:themeShade="BF"/>
    </w:rPr>
  </w:style>
  <w:style w:type="paragraph" w:styleId="IntenseQuote">
    <w:name w:val="Intense Quote"/>
    <w:basedOn w:val="Normal"/>
    <w:next w:val="Normal"/>
    <w:link w:val="IntenseQuoteChar"/>
    <w:uiPriority w:val="30"/>
    <w:qFormat/>
    <w:rsid w:val="00714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759"/>
    <w:rPr>
      <w:i/>
      <w:iCs/>
      <w:color w:val="2F5496" w:themeColor="accent1" w:themeShade="BF"/>
    </w:rPr>
  </w:style>
  <w:style w:type="character" w:styleId="IntenseReference">
    <w:name w:val="Intense Reference"/>
    <w:basedOn w:val="DefaultParagraphFont"/>
    <w:uiPriority w:val="32"/>
    <w:qFormat/>
    <w:rsid w:val="00714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1635</Words>
  <Characters>9320</Characters>
  <Application>Microsoft Office Word</Application>
  <DocSecurity>0</DocSecurity>
  <Lines>77</Lines>
  <Paragraphs>21</Paragraphs>
  <ScaleCrop>false</ScaleCrop>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Hemanth</dc:creator>
  <cp:keywords/>
  <dc:description/>
  <cp:lastModifiedBy>Hemanth Hemanth</cp:lastModifiedBy>
  <cp:revision>2</cp:revision>
  <dcterms:created xsi:type="dcterms:W3CDTF">2026-01-20T11:17:00Z</dcterms:created>
  <dcterms:modified xsi:type="dcterms:W3CDTF">2026-01-27T07:15:00Z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efde72e5-57f6-44d3-8544-86e7a915b6a0</vt:lpwstr>
  </property>
</Properties>
</file>