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3864"/>
          <w:sz w:val="72"/>
          <w:szCs w:val="72"/>
        </w:rPr>
        <w:t xml:space="preserve">DB SIRE</w:t>
      </w:r>
    </w:p>
    <w:p>
      <w:pPr>
        <w:spacing w:after="0" w:before="80"/>
        <w:jc w:val="center"/>
      </w:pPr>
      <w:r>
        <w:rPr>
          <w:rFonts w:ascii="Arial" w:cs="Arial" w:eastAsia="Arial" w:hAnsi="Arial"/>
          <w:color w:val="2E5F9A"/>
          <w:sz w:val="26"/>
          <w:szCs w:val="26"/>
        </w:rPr>
        <w:t xml:space="preserve">Deutsche Bank Settlement Information and Reconciliation Engine</w:t>
      </w:r>
    </w:p>
    <w:p>
      <w:pPr>
        <w:spacing w:after="0" w:before="80"/>
      </w:pPr>
      <w:r>
        <w:t xml:space="preserve"/>
      </w:r>
    </w:p>
    <w:p>
      <w:pPr>
        <w:jc w:val="center"/>
      </w:pPr>
      <w:r>
        <w:rPr>
          <w:rFonts w:ascii="Arial" w:cs="Arial" w:eastAsia="Arial" w:hAnsi="Arial"/>
          <w:b/>
          <w:bCs/>
          <w:color w:val="1F3864"/>
          <w:sz w:val="36"/>
          <w:szCs w:val="36"/>
        </w:rPr>
        <w:t xml:space="preserve">QA INTERVIEW MASTER GUIDE</w:t>
      </w:r>
    </w:p>
    <w:p>
      <w:pPr>
        <w:spacing w:after="0" w:before="40"/>
      </w:pPr>
      <w:r>
        <w:t xml:space="preserve"/>
      </w:r>
    </w:p>
    <w:p>
      <w:pPr>
        <w:jc w:val="center"/>
      </w:pPr>
      <w:r>
        <w:rPr>
          <w:rFonts w:ascii="Arial" w:cs="Arial" w:eastAsia="Arial" w:hAnsi="Arial"/>
          <w:i/>
          <w:iCs/>
          <w:color w:val="2E5F9A"/>
          <w:sz w:val="20"/>
          <w:szCs w:val="20"/>
        </w:rPr>
        <w:t xml:space="preserve">Securities Settlement  |  Post-Trade Operations  |  SWIFT Messaging  |  Euronext Markets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Attribute</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Details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 Sire — Settlement Information and Reconciliation Engine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Organisation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Deutsche Bank</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Domain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Securities Settlement — Post-Trade Operations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Markets Served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Euronext (Amsterdam, Brussels, Paris, Lisbon, Dublin, Oslo, Milan)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Application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Legacy Internal Web Application (not client-facing)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Tech Stack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Java, Struts (v1/v2), JSP, HTML, Oracle Database, JMS/IBM MQ Queues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Integration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Message Broker — SWIFT messages (MT5xx); Java Services via Queues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Oracle DB — instructions, balances, accounts, audit trails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Environment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Intranet (int1.dbsire.intranet.db.com)</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Your 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DCSEU — Deutsche Bank Client Securities EU | QA Automation Engineer</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Settlement Cycle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T+2 (trade date + 2 business days)</w:t>
            </w:r>
          </w:p>
        </w:tc>
      </w:tr>
    </w:tbl>
    <w:p>
      <w:r>
        <w:br w:type="page"/>
      </w:r>
    </w:p>
    <w:p>
      <w:pPr>
        <w:pStyle w:val="Heading1"/>
      </w:pPr>
      <w:r>
        <w:rPr>
          <w:rFonts w:ascii="Arial" w:cs="Arial" w:eastAsia="Arial" w:hAnsi="Arial"/>
          <w:b/>
          <w:bCs/>
          <w:color w:val="1F3864"/>
          <w:sz w:val="32"/>
          <w:szCs w:val="32"/>
        </w:rPr>
        <w:t xml:space="preserve">1. What is DB Sire?</w:t>
      </w:r>
    </w:p>
    <w:p>
      <w:pPr>
        <w:spacing w:after="60" w:before="60"/>
      </w:pPr>
      <w:r>
        <w:rPr>
          <w:rFonts w:ascii="Arial" w:cs="Arial" w:eastAsia="Arial" w:hAnsi="Arial"/>
          <w:b w:val="false"/>
          <w:bCs w:val="false"/>
          <w:color w:val="000000"/>
          <w:sz w:val="20"/>
          <w:szCs w:val="20"/>
        </w:rPr>
        <w:t xml:space="preserve">DB Sire is Deutsche Bank's internal legacy post-trade settlement administration platform. It is used exclusively by back-office operations and settlement teams — not by external clients. The application manages the complete lifecycle of securities settlement instructions for Euronext markets, from the moment a trade is executed until securities and cash are exchanged between counterparties.</w:t>
      </w:r>
    </w:p>
    <w:p>
      <w:pPr>
        <w:spacing w:after="0" w:before="120"/>
      </w:pPr>
      <w:r>
        <w:t xml:space="preserve"/>
      </w:r>
    </w:p>
    <w:p>
      <w:pPr>
        <w:spacing w:after="60" w:before="60"/>
      </w:pPr>
      <w:r>
        <w:rPr>
          <w:rFonts w:ascii="Arial" w:cs="Arial" w:eastAsia="Arial" w:hAnsi="Arial"/>
          <w:b w:val="false"/>
          <w:bCs w:val="false"/>
          <w:color w:val="000000"/>
          <w:sz w:val="20"/>
          <w:szCs w:val="20"/>
        </w:rPr>
        <w:t xml:space="preserve">DB Sire acts as a control and correction layer. It sits in front of the core settlement engine, catches failed or exceptional instructions, lets operations teams fix them, and resubmits them for settlement.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8"/>
              <w:bottom w:val="single" w:color="1F3864" w:sz="3"/>
              <w:right w:val="single" w:color="1F3864" w:sz="3"/>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One-Line Summary: "DB Sire is Deutsche Bank's internal settlement application used to manage failed and exceptional trades; my role ensured these settlement workflows were tested and automated accurately to reduce financial risk."</w:t>
            </w:r>
          </w:p>
        </w:tc>
      </w:tr>
    </w:tbl>
    <w:p>
      <w:pPr>
        <w:spacing w:after="0" w:before="120"/>
      </w:pPr>
      <w:r>
        <w:t xml:space="preserve"/>
      </w:r>
    </w:p>
    <w:p>
      <w:pPr>
        <w:pStyle w:val="Heading2"/>
      </w:pPr>
      <w:r>
        <w:rPr>
          <w:rFonts w:ascii="Arial" w:cs="Arial" w:eastAsia="Arial" w:hAnsi="Arial"/>
          <w:b/>
          <w:bCs/>
          <w:color w:val="2E5F9A"/>
          <w:sz w:val="26"/>
          <w:szCs w:val="26"/>
        </w:rPr>
        <w:t xml:space="preserve">1.1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Layer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Technology</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JSP, HTML, Struts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 UI for operations teams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Application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Java (Struts MVC)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Business logic, validation, routing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Integration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Message Broker + SWIFT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Send/receive SWIFT messages; async processing via JMS queues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Java Services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Settlement processing, matching, validation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Database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Oracle 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Instructions, accounts, balances, audit logs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 Systems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Euronext CSDs, SWIFT Network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Real-world settlement infrastructure</w:t>
            </w:r>
          </w:p>
        </w:tc>
      </w:tr>
    </w:tbl>
    <w:p>
      <w:pPr>
        <w:spacing w:after="0" w:before="120"/>
      </w:pPr>
      <w:r>
        <w:t xml:space="preserve"/>
      </w:r>
    </w:p>
    <w:p>
      <w:pPr>
        <w:pStyle w:val="Heading2"/>
      </w:pPr>
      <w:r>
        <w:rPr>
          <w:rFonts w:ascii="Arial" w:cs="Arial" w:eastAsia="Arial" w:hAnsi="Arial"/>
          <w:b/>
          <w:bCs/>
          <w:color w:val="2E5F9A"/>
          <w:sz w:val="26"/>
          <w:szCs w:val="26"/>
        </w:rPr>
        <w:t xml:space="preserve">1.2  High-Level Settlement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A" w:sz="1"/>
              <w:left w:val="single" w:color="2E5F9A" w:sz="1"/>
              <w:bottom w:val="single" w:color="2E5F9A" w:sz="1"/>
              <w:right w:val="single" w:color="2E5F9A" w:sz="1"/>
            </w:tcBorders>
            <w:shd w:fill="D6E4F0" w:val="clear"/>
            <w:tcMar>
              <w:top w:type="dxa" w:w="80"/>
              <w:left w:type="dxa" w:w="200"/>
              <w:bottom w:type="dxa" w:w="80"/>
              <w:right w:type="dxa" w:w="120"/>
            </w:tcMar>
          </w:tcPr>
          <w:p>
            <w:r>
              <w:rPr>
                <w:rFonts w:ascii="Arial" w:cs="Arial" w:eastAsia="Arial" w:hAnsi="Arial"/>
                <w:b/>
                <w:bCs/>
                <w:color w:val="1F3864"/>
                <w:sz w:val="20"/>
                <w:szCs w:val="20"/>
              </w:rPr>
              <w:t xml:space="preserve">HIGH-LEVEL SETTLEMENT FLOW</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1 → Trade executed in the market (Buyer &amp; Seller agree)</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2 → Settlement instructions exchanged via SWIFT messages (MT54x, MT578…)</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3 → Instructions enter the Core Settlement Engine</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4 → If validation fails → Instruction routes to DB Sire</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5 → Operations team: Search → Analyse → Modify → Validate → Reprocess</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6 → Corrected instruction sent back to Core Settlement Engine</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7 → Settlement completes (securities &amp; cash exchanged at CSD)</w:t>
            </w:r>
          </w:p>
        </w:tc>
      </w:tr>
    </w:tbl>
    <w:p>
      <w:pPr>
        <w:spacing w:after="0" w:before="120"/>
      </w:pPr>
      <w:r>
        <w:t xml:space="preserve"/>
      </w:r>
    </w:p>
    <w:p>
      <w:pPr>
        <w:pStyle w:val="Heading2"/>
      </w:pPr>
      <w:r>
        <w:rPr>
          <w:rFonts w:ascii="Arial" w:cs="Arial" w:eastAsia="Arial" w:hAnsi="Arial"/>
          <w:b/>
          <w:bCs/>
          <w:color w:val="2E5F9A"/>
          <w:sz w:val="26"/>
          <w:szCs w:val="26"/>
        </w:rPr>
        <w:t xml:space="preserve">1.3  Trade Settlement Basics</w:t>
      </w:r>
    </w:p>
    <w:p>
      <w:pPr>
        <w:spacing w:after="60" w:before="60"/>
      </w:pPr>
      <w:r>
        <w:rPr>
          <w:rFonts w:ascii="Arial" w:cs="Arial" w:eastAsia="Arial" w:hAnsi="Arial"/>
          <w:b w:val="false"/>
          <w:bCs w:val="false"/>
          <w:color w:val="000000"/>
          <w:sz w:val="20"/>
          <w:szCs w:val="20"/>
        </w:rPr>
        <w:t xml:space="preserve">Securities settlement is the process of transferring ownership of securities from seller to buyer with corresponding cash movement. Key concepts:</w:t>
      </w:r>
    </w:p>
    <w:p>
      <w:pPr>
        <w:pStyle w:val="ListParagraph"/>
        <w:numPr>
          <w:ilvl w:val="0"/>
          <w:numId w:val="2"/>
        </w:numPr>
        <w:spacing w:after="40" w:before="40"/>
      </w:pPr>
      <w:r>
        <w:rPr>
          <w:rFonts w:ascii="Arial" w:cs="Arial" w:eastAsia="Arial" w:hAnsi="Arial"/>
          <w:b w:val="false"/>
          <w:bCs w:val="false"/>
          <w:color w:val="000000"/>
          <w:sz w:val="20"/>
          <w:szCs w:val="20"/>
        </w:rPr>
        <w:t xml:space="preserve">Trade Date (T): Both parties agree to buy/sell a security.</w:t>
      </w:r>
    </w:p>
    <w:p>
      <w:pPr>
        <w:pStyle w:val="ListParagraph"/>
        <w:numPr>
          <w:ilvl w:val="0"/>
          <w:numId w:val="2"/>
        </w:numPr>
        <w:spacing w:after="40" w:before="40"/>
      </w:pPr>
      <w:r>
        <w:rPr>
          <w:rFonts w:ascii="Arial" w:cs="Arial" w:eastAsia="Arial" w:hAnsi="Arial"/>
          <w:b w:val="false"/>
          <w:bCs w:val="false"/>
          <w:color w:val="000000"/>
          <w:sz w:val="20"/>
          <w:szCs w:val="20"/>
        </w:rPr>
        <w:t xml:space="preserve">Settlement Date (T+2): Actual exchange of securities and cash — 2 business days after trade date (Euronext standard).</w:t>
      </w:r>
    </w:p>
    <w:p>
      <w:pPr>
        <w:pStyle w:val="ListParagraph"/>
        <w:numPr>
          <w:ilvl w:val="0"/>
          <w:numId w:val="2"/>
        </w:numPr>
        <w:spacing w:after="40" w:before="40"/>
      </w:pPr>
      <w:r>
        <w:rPr>
          <w:rFonts w:ascii="Arial" w:cs="Arial" w:eastAsia="Arial" w:hAnsi="Arial"/>
          <w:b w:val="false"/>
          <w:bCs w:val="false"/>
          <w:color w:val="000000"/>
          <w:sz w:val="20"/>
          <w:szCs w:val="20"/>
        </w:rPr>
        <w:t xml:space="preserve">CSDs (Central Securities Depositories): Institutions that hold securities electronically and enable settlement by book-entry (e.g., NBBE for Euronext Brussels).</w:t>
      </w:r>
    </w:p>
    <w:p>
      <w:pPr>
        <w:pStyle w:val="ListParagraph"/>
        <w:numPr>
          <w:ilvl w:val="0"/>
          <w:numId w:val="2"/>
        </w:numPr>
        <w:spacing w:after="40" w:before="40"/>
      </w:pPr>
      <w:r>
        <w:rPr>
          <w:rFonts w:ascii="Arial" w:cs="Arial" w:eastAsia="Arial" w:hAnsi="Arial"/>
          <w:b w:val="false"/>
          <w:bCs w:val="false"/>
          <w:color w:val="000000"/>
          <w:sz w:val="20"/>
          <w:szCs w:val="20"/>
        </w:rPr>
        <w:t xml:space="preserve">SWIFT: The global messaging network used to send settlement instructions between financial institutions.</w:t>
      </w:r>
    </w:p>
    <w:p>
      <w:pPr>
        <w:pStyle w:val="ListParagraph"/>
        <w:numPr>
          <w:ilvl w:val="0"/>
          <w:numId w:val="2"/>
        </w:numPr>
        <w:spacing w:after="40" w:before="40"/>
      </w:pPr>
      <w:r>
        <w:rPr>
          <w:rFonts w:ascii="Arial" w:cs="Arial" w:eastAsia="Arial" w:hAnsi="Arial"/>
          <w:b w:val="false"/>
          <w:bCs w:val="false"/>
          <w:color w:val="000000"/>
          <w:sz w:val="20"/>
          <w:szCs w:val="20"/>
        </w:rPr>
        <w:t xml:space="preserve">DVP (Delivery vs Payment): Securities and cash move simultaneously — reduces counterparty risk.</w:t>
      </w:r>
    </w:p>
    <w:p>
      <w:pPr>
        <w:pStyle w:val="ListParagraph"/>
        <w:numPr>
          <w:ilvl w:val="0"/>
          <w:numId w:val="2"/>
        </w:numPr>
        <w:spacing w:after="40" w:before="40"/>
      </w:pPr>
      <w:r>
        <w:rPr>
          <w:rFonts w:ascii="Arial" w:cs="Arial" w:eastAsia="Arial" w:hAnsi="Arial"/>
          <w:b w:val="false"/>
          <w:bCs w:val="false"/>
          <w:color w:val="000000"/>
          <w:sz w:val="20"/>
          <w:szCs w:val="20"/>
        </w:rPr>
        <w:t xml:space="preserve">DFP (Delivery Free of Payment): Securities move without simultaneous cash — used for internal transfers, collateral moves, or corporate action entitlements.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000" w:sz="3"/>
              <w:left w:val="single" w:color="7B4000" w:sz="8"/>
              <w:bottom w:val="single" w:color="7B4000" w:sz="3"/>
              <w:right w:val="single" w:color="7B4000" w:sz="3"/>
            </w:tcBorders>
            <w:shd w:fill="FEF3CD" w:val="clear"/>
            <w:tcMar>
              <w:top w:type="dxa" w:w="100"/>
              <w:left w:type="dxa" w:w="180"/>
              <w:bottom w:type="dxa" w:w="100"/>
              <w:right w:type="dxa" w:w="180"/>
            </w:tcMar>
          </w:tcPr>
          <w:p>
            <w:r>
              <w:rPr>
                <w:rFonts w:ascii="Arial" w:cs="Arial" w:eastAsia="Arial" w:hAnsi="Arial"/>
                <w:b/>
                <w:bCs/>
                <w:color w:val="7B4000"/>
                <w:sz w:val="20"/>
                <w:szCs w:val="20"/>
              </w:rPr>
              <w:t xml:space="preserve">Interview Tip: When asked about DVP vs DFP, explain that DVP requires both securities AND cash balance validation, while DFP only requires securities balance checks. The Payment Indicator field in DB Sire distinguishes them — FREE = DFP, otherwise DVP.</w:t>
            </w:r>
          </w:p>
        </w:tc>
      </w:tr>
    </w:tbl>
    <w:p>
      <w:r>
        <w:br w:type="page"/>
      </w:r>
    </w:p>
    <w:p>
      <w:pPr>
        <w:pStyle w:val="Heading1"/>
      </w:pPr>
      <w:r>
        <w:rPr>
          <w:rFonts w:ascii="Arial" w:cs="Arial" w:eastAsia="Arial" w:hAnsi="Arial"/>
          <w:b/>
          <w:bCs/>
          <w:color w:val="1F3864"/>
          <w:sz w:val="32"/>
          <w:szCs w:val="32"/>
        </w:rPr>
        <w:t xml:space="preserve">2. Key Fields in a Settlement Instruction</w:t>
      </w:r>
    </w:p>
    <w:p>
      <w:pPr>
        <w:spacing w:after="60" w:before="60"/>
      </w:pPr>
      <w:r>
        <w:rPr>
          <w:rFonts w:ascii="Arial" w:cs="Arial" w:eastAsia="Arial" w:hAnsi="Arial"/>
          <w:b w:val="false"/>
          <w:bCs w:val="false"/>
          <w:color w:val="000000"/>
          <w:sz w:val="20"/>
          <w:szCs w:val="20"/>
        </w:rPr>
        <w:t xml:space="preserve">Each settlement instruction is like a structured 'delivery order'. Even a small mistake in any field causes settlement failure and manual intervention.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Field</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Description</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Example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International Securities Identification Number — uniquely identifies a security globally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BE0002401736 (Belgian security)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Nominal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Quantity of securities to be transferred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250,000 units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Amount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Cash value of the transaction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€1,250,000</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Trade 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 both parties agreed to trade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 (e.g., 12/05/2024)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Settlement 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 securities and cash must be exchanged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T+2 (e.g., 14/05/2024)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Branch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Euronext market branch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AMS=Amsterdam, PAR=Paris, BRU=Brussels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CSD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Place of settlement (Central Securities Depository)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NBBE (NBB-Euroclear Belgium)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Buyer/Seller Accounts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Account codes of both parties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DEUTNL2AXXX</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Payment Indicator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 = DFP; anything else = DVP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 / DVP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Current state of the instruction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Failed, Settled, On Hold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Matching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Degree of match with counterparty instruction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 no match; 100 = full match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 Reference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reference assigned by client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GOSN1404C1</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Message 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Type of SWIFT instruction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RF (Receive Free), RVP (Receive vs Payment)</w:t>
            </w:r>
          </w:p>
        </w:tc>
      </w:tr>
    </w:tbl>
    <w:p>
      <w:r>
        <w:br w:type="page"/>
      </w:r>
    </w:p>
    <w:p>
      <w:pPr>
        <w:pStyle w:val="Heading1"/>
      </w:pPr>
      <w:r>
        <w:rPr>
          <w:rFonts w:ascii="Arial" w:cs="Arial" w:eastAsia="Arial" w:hAnsi="Arial"/>
          <w:b/>
          <w:bCs/>
          <w:color w:val="1F3864"/>
          <w:sz w:val="32"/>
          <w:szCs w:val="32"/>
        </w:rPr>
        <w:t xml:space="preserve">3. DB Sire Modules — Detailed Breakdown</w:t>
      </w:r>
    </w:p>
    <w:p>
      <w:pPr>
        <w:spacing w:after="60" w:before="60"/>
      </w:pPr>
      <w:r>
        <w:rPr>
          <w:rFonts w:ascii="Arial" w:cs="Arial" w:eastAsia="Arial" w:hAnsi="Arial"/>
          <w:b w:val="false"/>
          <w:bCs w:val="false"/>
          <w:color w:val="000000"/>
          <w:sz w:val="20"/>
          <w:szCs w:val="20"/>
        </w:rPr>
        <w:t xml:space="preserve">DB Sire is organized into 8 major functional modules. Each module handles a specific phase of the settlement lifecycle. Below is a deep-dive into each module with workflows, business rules, and interview-ready answers.</w:t>
      </w:r>
    </w:p>
    <w:p>
      <w:pPr>
        <w:pBdr>
          <w:bottom w:val="single" w:color="2E5F9A" w:sz="4" w:space="1"/>
        </w:pBdr>
        <w:spacing w:after="200" w:before="200"/>
      </w:pPr>
      <w:r>
        <w:t xml:space="preserve"/>
      </w:r>
    </w:p>
    <w:p>
      <w:pPr>
        <w:pStyle w:val="Heading2"/>
      </w:pPr>
      <w:r>
        <w:rPr>
          <w:rFonts w:ascii="Arial" w:cs="Arial" w:eastAsia="Arial" w:hAnsi="Arial"/>
          <w:b/>
          <w:bCs/>
          <w:color w:val="2E5F9A"/>
          <w:sz w:val="26"/>
          <w:szCs w:val="26"/>
        </w:rPr>
        <w:t xml:space="preserve">Module 1: Settlements — Error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Sub-Module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Modify → Filter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Search and edit instructions that have failed automated processing</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Validate → Filter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Re-validate corrected instructions before resubmission into the pipeline</w:t>
            </w:r>
          </w:p>
        </w:tc>
      </w:tr>
    </w:tbl>
    <w:p>
      <w:pPr>
        <w:spacing w:after="0" w:before="80"/>
      </w:pPr>
      <w:r>
        <w:t xml:space="preserve"/>
      </w:r>
    </w:p>
    <w:p>
      <w:pPr>
        <w:spacing w:after="60" w:before="60"/>
      </w:pPr>
      <w:r>
        <w:rPr>
          <w:rFonts w:ascii="Arial" w:cs="Arial" w:eastAsia="Arial" w:hAnsi="Arial"/>
          <w:b w:val="false"/>
          <w:bCs w:val="false"/>
          <w:color w:val="000000"/>
          <w:sz w:val="20"/>
          <w:szCs w:val="20"/>
        </w:rPr>
        <w:t xml:space="preserve">The Error Queue captures settlement instructions that fail automated processing or business-rule validation. Operations staff review, correct, and resubmit.</w:t>
      </w:r>
    </w:p>
    <w:p>
      <w:pPr>
        <w:spacing w:after="0" w:before="80"/>
      </w:pPr>
      <w:r>
        <w:t xml:space="preserve"/>
      </w:r>
    </w:p>
    <w:p>
      <w:pPr>
        <w:pStyle w:val="Heading3"/>
      </w:pPr>
      <w:r>
        <w:rPr>
          <w:rFonts w:ascii="Arial" w:cs="Arial" w:eastAsia="Arial" w:hAnsi="Arial"/>
          <w:b/>
          <w:bCs/>
          <w:color w:val="2E5F9A"/>
          <w:sz w:val="22"/>
          <w:szCs w:val="22"/>
        </w:rPr>
        <w:t xml:space="preserve">Why do instructions fail?</w:t>
      </w:r>
    </w:p>
    <w:p>
      <w:pPr>
        <w:pStyle w:val="ListParagraph"/>
        <w:numPr>
          <w:ilvl w:val="0"/>
          <w:numId w:val="2"/>
        </w:numPr>
        <w:spacing w:after="40" w:before="40"/>
      </w:pPr>
      <w:r>
        <w:rPr>
          <w:rFonts w:ascii="Arial" w:cs="Arial" w:eastAsia="Arial" w:hAnsi="Arial"/>
          <w:b w:val="false"/>
          <w:bCs w:val="false"/>
          <w:color w:val="000000"/>
          <w:sz w:val="20"/>
          <w:szCs w:val="20"/>
        </w:rPr>
        <w:t xml:space="preserve">Invalid or unrecognized ISIN code</w:t>
      </w:r>
    </w:p>
    <w:p>
      <w:pPr>
        <w:pStyle w:val="ListParagraph"/>
        <w:numPr>
          <w:ilvl w:val="0"/>
          <w:numId w:val="2"/>
        </w:numPr>
        <w:spacing w:after="40" w:before="40"/>
      </w:pPr>
      <w:r>
        <w:rPr>
          <w:rFonts w:ascii="Arial" w:cs="Arial" w:eastAsia="Arial" w:hAnsi="Arial"/>
          <w:b w:val="false"/>
          <w:bCs w:val="false"/>
          <w:color w:val="000000"/>
          <w:sz w:val="20"/>
          <w:szCs w:val="20"/>
        </w:rPr>
        <w:t xml:space="preserve">Missing mandatory fields (account number, settlement date)</w:t>
      </w:r>
    </w:p>
    <w:p>
      <w:pPr>
        <w:pStyle w:val="ListParagraph"/>
        <w:numPr>
          <w:ilvl w:val="0"/>
          <w:numId w:val="2"/>
        </w:numPr>
        <w:spacing w:after="40" w:before="40"/>
      </w:pPr>
      <w:r>
        <w:rPr>
          <w:rFonts w:ascii="Arial" w:cs="Arial" w:eastAsia="Arial" w:hAnsi="Arial"/>
          <w:b w:val="false"/>
          <w:bCs w:val="false"/>
          <w:color w:val="000000"/>
          <w:sz w:val="20"/>
          <w:szCs w:val="20"/>
        </w:rPr>
        <w:t xml:space="preserve">Account does not exist in Oracle DB</w:t>
      </w:r>
    </w:p>
    <w:p>
      <w:pPr>
        <w:pStyle w:val="ListParagraph"/>
        <w:numPr>
          <w:ilvl w:val="0"/>
          <w:numId w:val="2"/>
        </w:numPr>
        <w:spacing w:after="40" w:before="40"/>
      </w:pPr>
      <w:r>
        <w:rPr>
          <w:rFonts w:ascii="Arial" w:cs="Arial" w:eastAsia="Arial" w:hAnsi="Arial"/>
          <w:b w:val="false"/>
          <w:bCs w:val="false"/>
          <w:color w:val="000000"/>
          <w:sz w:val="20"/>
          <w:szCs w:val="20"/>
        </w:rPr>
        <w:t xml:space="preserve">Settlement date is in the past or on a non-business day</w:t>
      </w:r>
    </w:p>
    <w:p>
      <w:pPr>
        <w:pStyle w:val="ListParagraph"/>
        <w:numPr>
          <w:ilvl w:val="0"/>
          <w:numId w:val="2"/>
        </w:numPr>
        <w:spacing w:after="40" w:before="40"/>
      </w:pPr>
      <w:r>
        <w:rPr>
          <w:rFonts w:ascii="Arial" w:cs="Arial" w:eastAsia="Arial" w:hAnsi="Arial"/>
          <w:b w:val="false"/>
          <w:bCs w:val="false"/>
          <w:color w:val="000000"/>
          <w:sz w:val="20"/>
          <w:szCs w:val="20"/>
        </w:rPr>
        <w:t xml:space="preserve">Insufficient stock balance at CSD</w:t>
      </w:r>
    </w:p>
    <w:p>
      <w:pPr>
        <w:pStyle w:val="ListParagraph"/>
        <w:numPr>
          <w:ilvl w:val="0"/>
          <w:numId w:val="2"/>
        </w:numPr>
        <w:spacing w:after="40" w:before="40"/>
      </w:pPr>
      <w:r>
        <w:rPr>
          <w:rFonts w:ascii="Arial" w:cs="Arial" w:eastAsia="Arial" w:hAnsi="Arial"/>
          <w:b w:val="false"/>
          <w:bCs w:val="false"/>
          <w:color w:val="000000"/>
          <w:sz w:val="20"/>
          <w:szCs w:val="20"/>
        </w:rPr>
        <w:t xml:space="preserve">SWIFT message parsing failure</w:t>
      </w:r>
    </w:p>
    <w:p>
      <w:pPr>
        <w:pStyle w:val="ListParagraph"/>
        <w:numPr>
          <w:ilvl w:val="0"/>
          <w:numId w:val="2"/>
        </w:numPr>
        <w:spacing w:after="40" w:before="40"/>
      </w:pPr>
      <w:r>
        <w:rPr>
          <w:rFonts w:ascii="Arial" w:cs="Arial" w:eastAsia="Arial" w:hAnsi="Arial"/>
          <w:b w:val="false"/>
          <w:bCs w:val="false"/>
          <w:color w:val="000000"/>
          <w:sz w:val="20"/>
          <w:szCs w:val="20"/>
        </w:rPr>
        <w:t xml:space="preserve">Counterparty mismatch — buyer/seller details don't align</w:t>
      </w:r>
    </w:p>
    <w:p>
      <w:pPr>
        <w:pStyle w:val="ListParagraph"/>
        <w:numPr>
          <w:ilvl w:val="0"/>
          <w:numId w:val="2"/>
        </w:numPr>
        <w:spacing w:after="40" w:before="40"/>
      </w:pPr>
      <w:r>
        <w:rPr>
          <w:rFonts w:ascii="Arial" w:cs="Arial" w:eastAsia="Arial" w:hAnsi="Arial"/>
          <w:b w:val="false"/>
          <w:bCs w:val="false"/>
          <w:color w:val="000000"/>
          <w:sz w:val="20"/>
          <w:szCs w:val="20"/>
        </w:rPr>
        <w:t xml:space="preserve">Insufficient permissions or branch mismatch</w:t>
      </w:r>
    </w:p>
    <w:p>
      <w:pPr>
        <w:spacing w:after="0" w:before="80"/>
      </w:pPr>
      <w:r>
        <w:t xml:space="preserve"/>
      </w:r>
    </w:p>
    <w:p>
      <w:pPr>
        <w:pStyle w:val="Heading3"/>
      </w:pPr>
      <w:r>
        <w:rPr>
          <w:rFonts w:ascii="Arial" w:cs="Arial" w:eastAsia="Arial" w:hAnsi="Arial"/>
          <w:b/>
          <w:bCs/>
          <w:color w:val="2E5F9A"/>
          <w:sz w:val="22"/>
          <w:szCs w:val="22"/>
        </w:rPr>
        <w:t xml:space="preserv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A" w:sz="1"/>
              <w:left w:val="single" w:color="2E5F9A" w:sz="1"/>
              <w:bottom w:val="single" w:color="2E5F9A" w:sz="1"/>
              <w:right w:val="single" w:color="2E5F9A" w:sz="1"/>
            </w:tcBorders>
            <w:shd w:fill="D6E4F0" w:val="clear"/>
            <w:tcMar>
              <w:top w:type="dxa" w:w="80"/>
              <w:left w:type="dxa" w:w="200"/>
              <w:bottom w:type="dxa" w:w="80"/>
              <w:right w:type="dxa" w:w="120"/>
            </w:tcMar>
          </w:tcPr>
          <w:p>
            <w:r>
              <w:rPr>
                <w:rFonts w:ascii="Arial" w:cs="Arial" w:eastAsia="Arial" w:hAnsi="Arial"/>
                <w:b/>
                <w:bCs/>
                <w:color w:val="1F3864"/>
                <w:sz w:val="20"/>
                <w:szCs w:val="20"/>
              </w:rPr>
              <w:t xml:space="preserve">SETTLEMENTS — ERROR QUEUE WORKFLOW</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1 → Instruction fails validation/automated processing</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2 → Automatically routed to Error Queue</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3 → Operations team opens Modify → Corrects the erroneous fields</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4 → Runs Validate → System rechecks all business rules</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5 → If valid → Instruction resubmitted into processing pipeline</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6 → Settlement completes at CSD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000" w:sz="3"/>
              <w:left w:val="single" w:color="7B4000" w:sz="8"/>
              <w:bottom w:val="single" w:color="7B4000" w:sz="3"/>
              <w:right w:val="single" w:color="7B4000" w:sz="3"/>
            </w:tcBorders>
            <w:shd w:fill="FEF3CD" w:val="clear"/>
            <w:tcMar>
              <w:top w:type="dxa" w:w="100"/>
              <w:left w:type="dxa" w:w="180"/>
              <w:bottom w:type="dxa" w:w="100"/>
              <w:right w:type="dxa" w:w="180"/>
            </w:tcMar>
          </w:tcPr>
          <w:p>
            <w:r>
              <w:rPr>
                <w:rFonts w:ascii="Arial" w:cs="Arial" w:eastAsia="Arial" w:hAnsi="Arial"/>
                <w:b/>
                <w:bCs/>
                <w:color w:val="7B4000"/>
                <w:sz w:val="20"/>
                <w:szCs w:val="20"/>
              </w:rPr>
              <w:t xml:space="preserve">Business Rule: Only validated instructions can be reprocessed. An instruction must pass ALL validation checks before it can be resubmitted.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3"/>
              <w:left w:val="single" w:color="1A5C38" w:sz="8"/>
              <w:bottom w:val="single" w:color="1A5C38" w:sz="3"/>
              <w:right w:val="single" w:color="1A5C38" w:sz="3"/>
            </w:tcBorders>
            <w:shd w:fill="D4EFDF" w:val="clear"/>
            <w:tcMar>
              <w:top w:type="dxa" w:w="100"/>
              <w:left w:type="dxa" w:w="180"/>
              <w:bottom w:type="dxa" w:w="100"/>
              <w:right w:type="dxa" w:w="180"/>
            </w:tcMar>
          </w:tcPr>
          <w:p>
            <w:r>
              <w:rPr>
                <w:rFonts w:ascii="Arial" w:cs="Arial" w:eastAsia="Arial" w:hAnsi="Arial"/>
                <w:b/>
                <w:bCs/>
                <w:color w:val="1A5C38"/>
                <w:sz w:val="20"/>
                <w:szCs w:val="20"/>
              </w:rPr>
              <w:t xml:space="preserve">Interview Answer: "I tested the Error Queue by intentionally creating instructions with invalid ISINs, missing mandatory fields, and incorrect dates, and verified they appeared correctly. I also validated the complete modify→validate→resubmit flow and ensured Oracle DB was updated correctly after reprocessing."</w:t>
            </w:r>
          </w:p>
        </w:tc>
      </w:tr>
    </w:tbl>
    <w:p>
      <w:pPr>
        <w:spacing w:after="0" w:before="160"/>
      </w:pPr>
      <w:r>
        <w:t xml:space="preserve"/>
      </w:r>
    </w:p>
    <w:p>
      <w:pPr>
        <w:pStyle w:val="Heading2"/>
      </w:pPr>
      <w:r>
        <w:rPr>
          <w:rFonts w:ascii="Arial" w:cs="Arial" w:eastAsia="Arial" w:hAnsi="Arial"/>
          <w:b/>
          <w:bCs/>
          <w:color w:val="2E5F9A"/>
          <w:sz w:val="26"/>
          <w:szCs w:val="26"/>
        </w:rPr>
        <w:t xml:space="preserve">Module 2: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Sub-Module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Capture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Manually key in a new settlement instruction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Validate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the manually entered instruction against business rules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Enquiry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Search for manually entered instructions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Filter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Narrow search results by ISIN, date, status, etc.</w:t>
            </w:r>
          </w:p>
        </w:tc>
      </w:tr>
    </w:tbl>
    <w:p>
      <w:pPr>
        <w:spacing w:after="0" w:before="80"/>
      </w:pPr>
      <w:r>
        <w:t xml:space="preserve"/>
      </w:r>
    </w:p>
    <w:p>
      <w:pPr>
        <w:spacing w:after="60" w:before="60"/>
      </w:pPr>
      <w:r>
        <w:rPr>
          <w:rFonts w:ascii="Arial" w:cs="Arial" w:eastAsia="Arial" w:hAnsi="Arial"/>
          <w:b w:val="false"/>
          <w:bCs w:val="false"/>
          <w:color w:val="000000"/>
          <w:sz w:val="20"/>
          <w:szCs w:val="20"/>
        </w:rPr>
        <w:t xml:space="preserve">Normally, instructions flow automatically via SWIFT messages through the message broker and queues. Manual Entry is used when automated flow fails, for emergency corrections, or when counterparty instructions need to be manually keyed.</w:t>
      </w:r>
    </w:p>
    <w:p>
      <w:pPr>
        <w:spacing w:after="0" w:before="80"/>
      </w:pPr>
      <w:r>
        <w:t xml:space="preserve"/>
      </w:r>
    </w:p>
    <w:p>
      <w:pPr>
        <w:pStyle w:val="Heading3"/>
      </w:pPr>
      <w:r>
        <w:rPr>
          <w:rFonts w:ascii="Arial" w:cs="Arial" w:eastAsia="Arial" w:hAnsi="Arial"/>
          <w:b/>
          <w:bCs/>
          <w:color w:val="2E5F9A"/>
          <w:sz w:val="22"/>
          <w:szCs w:val="22"/>
        </w:rPr>
        <w:t xml:space="preserv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A" w:sz="1"/>
              <w:left w:val="single" w:color="2E5F9A" w:sz="1"/>
              <w:bottom w:val="single" w:color="2E5F9A" w:sz="1"/>
              <w:right w:val="single" w:color="2E5F9A" w:sz="1"/>
            </w:tcBorders>
            <w:shd w:fill="D6E4F0" w:val="clear"/>
            <w:tcMar>
              <w:top w:type="dxa" w:w="80"/>
              <w:left w:type="dxa" w:w="200"/>
              <w:bottom w:type="dxa" w:w="80"/>
              <w:right w:type="dxa" w:w="120"/>
            </w:tcMar>
          </w:tcPr>
          <w:p>
            <w:r>
              <w:rPr>
                <w:rFonts w:ascii="Arial" w:cs="Arial" w:eastAsia="Arial" w:hAnsi="Arial"/>
                <w:b/>
                <w:bCs/>
                <w:color w:val="1F3864"/>
                <w:sz w:val="20"/>
                <w:szCs w:val="20"/>
              </w:rPr>
              <w:t xml:space="preserve">MANUAL ENTRY WORKFLOW</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1 → User opens Capture screen and keys in all instruction details</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2 → System validates all mandatory fields and business rules</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3 → If valid → Instruction enters settlement processing pipeline</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4 → User tracks via Enquiry screen</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5 → Filter screen narrows results for large data sets</w:t>
            </w:r>
          </w:p>
        </w:tc>
      </w:tr>
    </w:tbl>
    <w:p>
      <w:pPr>
        <w:spacing w:after="0" w:before="80"/>
      </w:pPr>
      <w:r>
        <w:t xml:space="preserve"/>
      </w:r>
    </w:p>
    <w:p>
      <w:pPr>
        <w:pStyle w:val="Heading3"/>
      </w:pPr>
      <w:r>
        <w:rPr>
          <w:rFonts w:ascii="Arial" w:cs="Arial" w:eastAsia="Arial" w:hAnsi="Arial"/>
          <w:b/>
          <w:bCs/>
          <w:color w:val="2E5F9A"/>
          <w:sz w:val="22"/>
          <w:szCs w:val="22"/>
        </w:rPr>
        <w:t xml:space="preserve">Key Validations Tested</w:t>
      </w:r>
    </w:p>
    <w:p>
      <w:pPr>
        <w:pStyle w:val="ListParagraph"/>
        <w:numPr>
          <w:ilvl w:val="0"/>
          <w:numId w:val="2"/>
        </w:numPr>
        <w:spacing w:after="40" w:before="40"/>
      </w:pPr>
      <w:r>
        <w:rPr>
          <w:rFonts w:ascii="Arial" w:cs="Arial" w:eastAsia="Arial" w:hAnsi="Arial"/>
          <w:b w:val="false"/>
          <w:bCs w:val="false"/>
          <w:color w:val="000000"/>
          <w:sz w:val="20"/>
          <w:szCs w:val="20"/>
        </w:rPr>
        <w:t xml:space="preserve">ISIN must exist in Oracle DB reference data</w:t>
      </w:r>
    </w:p>
    <w:p>
      <w:pPr>
        <w:pStyle w:val="ListParagraph"/>
        <w:numPr>
          <w:ilvl w:val="0"/>
          <w:numId w:val="2"/>
        </w:numPr>
        <w:spacing w:after="40" w:before="40"/>
      </w:pPr>
      <w:r>
        <w:rPr>
          <w:rFonts w:ascii="Arial" w:cs="Arial" w:eastAsia="Arial" w:hAnsi="Arial"/>
          <w:b w:val="false"/>
          <w:bCs w:val="false"/>
          <w:color w:val="000000"/>
          <w:sz w:val="20"/>
          <w:szCs w:val="20"/>
        </w:rPr>
        <w:t xml:space="preserve">Buyer/Seller accounts must be valid and active</w:t>
      </w:r>
    </w:p>
    <w:p>
      <w:pPr>
        <w:pStyle w:val="ListParagraph"/>
        <w:numPr>
          <w:ilvl w:val="0"/>
          <w:numId w:val="2"/>
        </w:numPr>
        <w:spacing w:after="40" w:before="40"/>
      </w:pPr>
      <w:r>
        <w:rPr>
          <w:rFonts w:ascii="Arial" w:cs="Arial" w:eastAsia="Arial" w:hAnsi="Arial"/>
          <w:b w:val="false"/>
          <w:bCs w:val="false"/>
          <w:color w:val="000000"/>
          <w:sz w:val="20"/>
          <w:szCs w:val="20"/>
        </w:rPr>
        <w:t xml:space="preserve">Settlement date must be a valid business day (not weekend, not past)</w:t>
      </w:r>
    </w:p>
    <w:p>
      <w:pPr>
        <w:pStyle w:val="ListParagraph"/>
        <w:numPr>
          <w:ilvl w:val="0"/>
          <w:numId w:val="2"/>
        </w:numPr>
        <w:spacing w:after="40" w:before="40"/>
      </w:pPr>
      <w:r>
        <w:rPr>
          <w:rFonts w:ascii="Arial" w:cs="Arial" w:eastAsia="Arial" w:hAnsi="Arial"/>
          <w:b w:val="false"/>
          <w:bCs w:val="false"/>
          <w:color w:val="000000"/>
          <w:sz w:val="20"/>
          <w:szCs w:val="20"/>
        </w:rPr>
        <w:t xml:space="preserve">Nominal/Amount must be positive numeric values</w:t>
      </w:r>
    </w:p>
    <w:p>
      <w:pPr>
        <w:pStyle w:val="ListParagraph"/>
        <w:numPr>
          <w:ilvl w:val="0"/>
          <w:numId w:val="2"/>
        </w:numPr>
        <w:spacing w:after="40" w:before="40"/>
      </w:pPr>
      <w:r>
        <w:rPr>
          <w:rFonts w:ascii="Arial" w:cs="Arial" w:eastAsia="Arial" w:hAnsi="Arial"/>
          <w:b w:val="false"/>
          <w:bCs w:val="false"/>
          <w:color w:val="000000"/>
          <w:sz w:val="20"/>
          <w:szCs w:val="20"/>
        </w:rPr>
        <w:t xml:space="preserve">Duplicate instruction detection — same CSD ref, ISIN, and date</w:t>
      </w:r>
    </w:p>
    <w:p>
      <w:pPr>
        <w:pStyle w:val="ListParagraph"/>
        <w:numPr>
          <w:ilvl w:val="0"/>
          <w:numId w:val="2"/>
        </w:numPr>
        <w:spacing w:after="40" w:before="40"/>
      </w:pPr>
      <w:r>
        <w:rPr>
          <w:rFonts w:ascii="Arial" w:cs="Arial" w:eastAsia="Arial" w:hAnsi="Arial"/>
          <w:b w:val="false"/>
          <w:bCs w:val="false"/>
          <w:color w:val="000000"/>
          <w:sz w:val="20"/>
          <w:szCs w:val="20"/>
        </w:rPr>
        <w:t xml:space="preserve">Branch code must match user's authorized branch</w:t>
      </w:r>
    </w:p>
    <w:p>
      <w:pPr>
        <w:spacing w:after="0" w:before="80"/>
      </w:pPr>
      <w:r>
        <w:t xml:space="preserve"/>
      </w:r>
    </w:p>
    <w:p>
      <w:pPr>
        <w:spacing w:after="60" w:before="60"/>
      </w:pPr>
      <w:r>
        <w:rPr>
          <w:rFonts w:ascii="Arial" w:cs="Arial" w:eastAsia="Arial" w:hAnsi="Arial"/>
          <w:b/>
          <w:bCs/>
          <w:color w:val="000000"/>
          <w:sz w:val="20"/>
          <w:szCs w:val="20"/>
        </w:rPr>
        <w:t xml:space="preserve">Related SWIFT Messages:</w:t>
      </w:r>
    </w:p>
    <w:p>
      <w:pPr>
        <w:pStyle w:val="ListParagraph"/>
        <w:numPr>
          <w:ilvl w:val="0"/>
          <w:numId w:val="2"/>
        </w:numPr>
        <w:spacing w:after="40" w:before="40"/>
      </w:pPr>
      <w:r>
        <w:rPr>
          <w:rFonts w:ascii="Arial" w:cs="Arial" w:eastAsia="Arial" w:hAnsi="Arial"/>
          <w:b w:val="false"/>
          <w:bCs w:val="false"/>
          <w:color w:val="000000"/>
          <w:sz w:val="20"/>
          <w:szCs w:val="20"/>
        </w:rPr>
        <w:t xml:space="preserve">MT540 — Receive Free (DFP receive instruction)</w:t>
      </w:r>
    </w:p>
    <w:p>
      <w:pPr>
        <w:pStyle w:val="ListParagraph"/>
        <w:numPr>
          <w:ilvl w:val="0"/>
          <w:numId w:val="2"/>
        </w:numPr>
        <w:spacing w:after="40" w:before="40"/>
      </w:pPr>
      <w:r>
        <w:rPr>
          <w:rFonts w:ascii="Arial" w:cs="Arial" w:eastAsia="Arial" w:hAnsi="Arial"/>
          <w:b w:val="false"/>
          <w:bCs w:val="false"/>
          <w:color w:val="000000"/>
          <w:sz w:val="20"/>
          <w:szCs w:val="20"/>
        </w:rPr>
        <w:t xml:space="preserve">MT541 — Receive Against Payment (DVP receive instruction)</w:t>
      </w:r>
    </w:p>
    <w:p>
      <w:pPr>
        <w:pStyle w:val="ListParagraph"/>
        <w:numPr>
          <w:ilvl w:val="0"/>
          <w:numId w:val="2"/>
        </w:numPr>
        <w:spacing w:after="40" w:before="40"/>
      </w:pPr>
      <w:r>
        <w:rPr>
          <w:rFonts w:ascii="Arial" w:cs="Arial" w:eastAsia="Arial" w:hAnsi="Arial"/>
          <w:b w:val="false"/>
          <w:bCs w:val="false"/>
          <w:color w:val="000000"/>
          <w:sz w:val="20"/>
          <w:szCs w:val="20"/>
        </w:rPr>
        <w:t xml:space="preserve">MT542 — Deliver Free (DFP deliver instruction)</w:t>
      </w:r>
    </w:p>
    <w:p>
      <w:pPr>
        <w:pStyle w:val="ListParagraph"/>
        <w:numPr>
          <w:ilvl w:val="0"/>
          <w:numId w:val="2"/>
        </w:numPr>
        <w:spacing w:after="40" w:before="40"/>
      </w:pPr>
      <w:r>
        <w:rPr>
          <w:rFonts w:ascii="Arial" w:cs="Arial" w:eastAsia="Arial" w:hAnsi="Arial"/>
          <w:b w:val="false"/>
          <w:bCs w:val="false"/>
          <w:color w:val="000000"/>
          <w:sz w:val="20"/>
          <w:szCs w:val="20"/>
        </w:rPr>
        <w:t xml:space="preserve">MT543 — Deliver Against Payment (DVP deliver instruction)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3"/>
              <w:left w:val="single" w:color="1A5C38" w:sz="8"/>
              <w:bottom w:val="single" w:color="1A5C38" w:sz="3"/>
              <w:right w:val="single" w:color="1A5C38" w:sz="3"/>
            </w:tcBorders>
            <w:shd w:fill="D4EFDF" w:val="clear"/>
            <w:tcMar>
              <w:top w:type="dxa" w:w="100"/>
              <w:left w:type="dxa" w:w="180"/>
              <w:bottom w:type="dxa" w:w="100"/>
              <w:right w:type="dxa" w:w="180"/>
            </w:tcMar>
          </w:tcPr>
          <w:p>
            <w:r>
              <w:rPr>
                <w:rFonts w:ascii="Arial" w:cs="Arial" w:eastAsia="Arial" w:hAnsi="Arial"/>
                <w:b/>
                <w:bCs/>
                <w:color w:val="1A5C38"/>
                <w:sz w:val="20"/>
                <w:szCs w:val="20"/>
              </w:rPr>
              <w:t xml:space="preserve">Interview Answer: "I validated manual entry by testing field-level validations, date boundaries, and duplicate detection, and ensured manually entered instructions flowed correctly into settlement processing. I also used RestAssured for API-based test data setup to create instructions programmatically."</w:t>
            </w:r>
          </w:p>
        </w:tc>
      </w:tr>
    </w:tbl>
    <w:p>
      <w:pPr>
        <w:spacing w:after="0" w:before="160"/>
      </w:pPr>
      <w:r>
        <w:t xml:space="preserve"/>
      </w:r>
    </w:p>
    <w:p>
      <w:pPr>
        <w:pStyle w:val="Heading2"/>
      </w:pPr>
      <w:r>
        <w:rPr>
          <w:rFonts w:ascii="Arial" w:cs="Arial" w:eastAsia="Arial" w:hAnsi="Arial"/>
          <w:b/>
          <w:bCs/>
          <w:color w:val="2E5F9A"/>
          <w:sz w:val="26"/>
          <w:szCs w:val="26"/>
        </w:rPr>
        <w:t xml:space="preserve">Module 3: Manual Hold &amp;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Sub-Module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Capture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Place a hold on an active settlement instruction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Filter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Search for held instructions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Validate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before releasing the instruction</w:t>
            </w:r>
          </w:p>
        </w:tc>
      </w:tr>
    </w:tbl>
    <w:p>
      <w:pPr>
        <w:spacing w:after="0" w:before="80"/>
      </w:pPr>
      <w:r>
        <w:t xml:space="preserve"/>
      </w:r>
    </w:p>
    <w:p>
      <w:pPr>
        <w:spacing w:after="60" w:before="60"/>
      </w:pPr>
      <w:r>
        <w:rPr>
          <w:rFonts w:ascii="Arial" w:cs="Arial" w:eastAsia="Arial" w:hAnsi="Arial"/>
          <w:b w:val="false"/>
          <w:bCs w:val="false"/>
          <w:color w:val="000000"/>
          <w:sz w:val="20"/>
          <w:szCs w:val="20"/>
        </w:rPr>
        <w:t xml:space="preserve">This module allows operations teams to intentionally freeze a settlement instruction, preventing it from settling until the hold is explicitly lifted. This is a high-risk area because it involves human intervention in the straight-through processing (STP) pipeline.</w:t>
      </w:r>
    </w:p>
    <w:p>
      <w:pPr>
        <w:spacing w:after="0" w:before="80"/>
      </w:pPr>
      <w:r>
        <w:t xml:space="preserve"/>
      </w:r>
    </w:p>
    <w:p>
      <w:pPr>
        <w:pStyle w:val="Heading3"/>
      </w:pPr>
      <w:r>
        <w:rPr>
          <w:rFonts w:ascii="Arial" w:cs="Arial" w:eastAsia="Arial" w:hAnsi="Arial"/>
          <w:b/>
          <w:bCs/>
          <w:color w:val="2E5F9A"/>
          <w:sz w:val="22"/>
          <w:szCs w:val="22"/>
        </w:rPr>
        <w:t xml:space="preserve">Business Reasons for Placing a Hold</w:t>
      </w:r>
    </w:p>
    <w:p>
      <w:pPr>
        <w:pStyle w:val="ListParagraph"/>
        <w:numPr>
          <w:ilvl w:val="0"/>
          <w:numId w:val="2"/>
        </w:numPr>
        <w:spacing w:after="40" w:before="40"/>
      </w:pPr>
      <w:r>
        <w:rPr>
          <w:rFonts w:ascii="Arial" w:cs="Arial" w:eastAsia="Arial" w:hAnsi="Arial"/>
          <w:b w:val="false"/>
          <w:bCs w:val="false"/>
          <w:color w:val="000000"/>
          <w:sz w:val="20"/>
          <w:szCs w:val="20"/>
        </w:rPr>
        <w:t xml:space="preserve">Client dispute or complaint pending resolution</w:t>
      </w:r>
    </w:p>
    <w:p>
      <w:pPr>
        <w:pStyle w:val="ListParagraph"/>
        <w:numPr>
          <w:ilvl w:val="0"/>
          <w:numId w:val="2"/>
        </w:numPr>
        <w:spacing w:after="40" w:before="40"/>
      </w:pPr>
      <w:r>
        <w:rPr>
          <w:rFonts w:ascii="Arial" w:cs="Arial" w:eastAsia="Arial" w:hAnsi="Arial"/>
          <w:b w:val="false"/>
          <w:bCs w:val="false"/>
          <w:color w:val="000000"/>
          <w:sz w:val="20"/>
          <w:szCs w:val="20"/>
        </w:rPr>
        <w:t xml:space="preserve">Compliance / regulatory investigation</w:t>
      </w:r>
    </w:p>
    <w:p>
      <w:pPr>
        <w:pStyle w:val="ListParagraph"/>
        <w:numPr>
          <w:ilvl w:val="0"/>
          <w:numId w:val="2"/>
        </w:numPr>
        <w:spacing w:after="40" w:before="40"/>
      </w:pPr>
      <w:r>
        <w:rPr>
          <w:rFonts w:ascii="Arial" w:cs="Arial" w:eastAsia="Arial" w:hAnsi="Arial"/>
          <w:b w:val="false"/>
          <w:bCs w:val="false"/>
          <w:color w:val="000000"/>
          <w:sz w:val="20"/>
          <w:szCs w:val="20"/>
        </w:rPr>
        <w:t xml:space="preserve">Funding issues — insufficient cash on settlement date</w:t>
      </w:r>
    </w:p>
    <w:p>
      <w:pPr>
        <w:pStyle w:val="ListParagraph"/>
        <w:numPr>
          <w:ilvl w:val="0"/>
          <w:numId w:val="2"/>
        </w:numPr>
        <w:spacing w:after="40" w:before="40"/>
      </w:pPr>
      <w:r>
        <w:rPr>
          <w:rFonts w:ascii="Arial" w:cs="Arial" w:eastAsia="Arial" w:hAnsi="Arial"/>
          <w:b w:val="false"/>
          <w:bCs w:val="false"/>
          <w:color w:val="000000"/>
          <w:sz w:val="20"/>
          <w:szCs w:val="20"/>
        </w:rPr>
        <w:t xml:space="preserve">Risk management escalation</w:t>
      </w:r>
    </w:p>
    <w:p>
      <w:pPr>
        <w:pStyle w:val="ListParagraph"/>
        <w:numPr>
          <w:ilvl w:val="0"/>
          <w:numId w:val="2"/>
        </w:numPr>
        <w:spacing w:after="40" w:before="40"/>
      </w:pPr>
      <w:r>
        <w:rPr>
          <w:rFonts w:ascii="Arial" w:cs="Arial" w:eastAsia="Arial" w:hAnsi="Arial"/>
          <w:b w:val="false"/>
          <w:bCs w:val="false"/>
          <w:color w:val="000000"/>
          <w:sz w:val="20"/>
          <w:szCs w:val="20"/>
        </w:rPr>
        <w:t xml:space="preserve">Suspected fraudulent or erroneous instruction</w:t>
      </w:r>
    </w:p>
    <w:p>
      <w:pPr>
        <w:spacing w:after="0" w:before="80"/>
      </w:pPr>
      <w:r>
        <w:t xml:space="preserve"/>
      </w:r>
    </w:p>
    <w:p>
      <w:pPr>
        <w:pStyle w:val="Heading3"/>
      </w:pPr>
      <w:r>
        <w:rPr>
          <w:rFonts w:ascii="Arial" w:cs="Arial" w:eastAsia="Arial" w:hAnsi="Arial"/>
          <w:b/>
          <w:bCs/>
          <w:color w:val="2E5F9A"/>
          <w:sz w:val="22"/>
          <w:szCs w:val="22"/>
        </w:rPr>
        <w:t xml:space="preserv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A" w:sz="1"/>
              <w:left w:val="single" w:color="2E5F9A" w:sz="1"/>
              <w:bottom w:val="single" w:color="2E5F9A" w:sz="1"/>
              <w:right w:val="single" w:color="2E5F9A" w:sz="1"/>
            </w:tcBorders>
            <w:shd w:fill="D6E4F0" w:val="clear"/>
            <w:tcMar>
              <w:top w:type="dxa" w:w="80"/>
              <w:left w:type="dxa" w:w="200"/>
              <w:bottom w:type="dxa" w:w="80"/>
              <w:right w:type="dxa" w:w="120"/>
            </w:tcMar>
          </w:tcPr>
          <w:p>
            <w:r>
              <w:rPr>
                <w:rFonts w:ascii="Arial" w:cs="Arial" w:eastAsia="Arial" w:hAnsi="Arial"/>
                <w:b/>
                <w:bCs/>
                <w:color w:val="1F3864"/>
                <w:sz w:val="20"/>
                <w:szCs w:val="20"/>
              </w:rPr>
              <w:t xml:space="preserve">MANUAL HOLD &amp; RELEASE WORKFLOW</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1 → Instruction is active in the processing pipeline</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2 → Operations team applies Hold via Capture screen</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3 → Instruction is frozen — cannot settle under any circumstances</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4 → Root cause / issue is investigated and resolved</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5 → Operations team applies Release via Validate screen</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6 → Instruction re-enters settlement pipeline and settles normally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818" w:sz="3"/>
              <w:left w:val="single" w:color="7B1818" w:sz="8"/>
              <w:bottom w:val="single" w:color="7B1818" w:sz="3"/>
              <w:right w:val="single" w:color="7B1818" w:sz="3"/>
            </w:tcBorders>
            <w:shd w:fill="FADBD8" w:val="clear"/>
            <w:tcMar>
              <w:top w:type="dxa" w:w="100"/>
              <w:left w:type="dxa" w:w="180"/>
              <w:bottom w:type="dxa" w:w="100"/>
              <w:right w:type="dxa" w:w="180"/>
            </w:tcMar>
          </w:tcPr>
          <w:p>
            <w:r>
              <w:rPr>
                <w:rFonts w:ascii="Arial" w:cs="Arial" w:eastAsia="Arial" w:hAnsi="Arial"/>
                <w:b/>
                <w:bCs/>
                <w:color w:val="7B1818"/>
                <w:sz w:val="20"/>
                <w:szCs w:val="20"/>
              </w:rPr>
              <w:t xml:space="preserve">CRITICAL Business Rule: A held instruction MUST NOT settle under any circumstances. This was a P1 defect area — during testing, I found that a concurrent process could bypass the hold status and proceed to settlement.</w:t>
            </w:r>
          </w:p>
        </w:tc>
      </w:tr>
    </w:tbl>
    <w:p>
      <w:pPr>
        <w:spacing w:after="0" w:before="80"/>
      </w:pPr>
      <w:r>
        <w:t xml:space="preserve"/>
      </w:r>
    </w:p>
    <w:p>
      <w:pPr>
        <w:spacing w:after="60" w:before="60"/>
      </w:pPr>
      <w:r>
        <w:rPr>
          <w:rFonts w:ascii="Arial" w:cs="Arial" w:eastAsia="Arial" w:hAnsi="Arial"/>
          <w:b/>
          <w:bCs/>
          <w:color w:val="000000"/>
          <w:sz w:val="20"/>
          <w:szCs w:val="20"/>
        </w:rPr>
        <w:t xml:space="preserve">Related SWIFT Messages:</w:t>
      </w:r>
    </w:p>
    <w:p>
      <w:pPr>
        <w:pStyle w:val="ListParagraph"/>
        <w:numPr>
          <w:ilvl w:val="0"/>
          <w:numId w:val="2"/>
        </w:numPr>
        <w:spacing w:after="40" w:before="40"/>
      </w:pPr>
      <w:r>
        <w:rPr>
          <w:rFonts w:ascii="Arial" w:cs="Arial" w:eastAsia="Arial" w:hAnsi="Arial"/>
          <w:b w:val="false"/>
          <w:bCs w:val="false"/>
          <w:color w:val="000000"/>
          <w:sz w:val="20"/>
          <w:szCs w:val="20"/>
        </w:rPr>
        <w:t xml:space="preserve">MT530 — Transaction Processing Command (hold/cancel instructions)</w:t>
      </w:r>
    </w:p>
    <w:p>
      <w:pPr>
        <w:pStyle w:val="ListParagraph"/>
        <w:numPr>
          <w:ilvl w:val="0"/>
          <w:numId w:val="2"/>
        </w:numPr>
        <w:spacing w:after="40" w:before="40"/>
      </w:pPr>
      <w:r>
        <w:rPr>
          <w:rFonts w:ascii="Arial" w:cs="Arial" w:eastAsia="Arial" w:hAnsi="Arial"/>
          <w:b w:val="false"/>
          <w:bCs w:val="false"/>
          <w:color w:val="000000"/>
          <w:sz w:val="20"/>
          <w:szCs w:val="20"/>
        </w:rPr>
        <w:t xml:space="preserve">MT548 — Settlement Status and Processing Advice (confirms hold status)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3"/>
              <w:left w:val="single" w:color="1A5C38" w:sz="8"/>
              <w:bottom w:val="single" w:color="1A5C38" w:sz="3"/>
              <w:right w:val="single" w:color="1A5C38" w:sz="3"/>
            </w:tcBorders>
            <w:shd w:fill="D4EFDF" w:val="clear"/>
            <w:tcMar>
              <w:top w:type="dxa" w:w="100"/>
              <w:left w:type="dxa" w:w="180"/>
              <w:bottom w:type="dxa" w:w="100"/>
              <w:right w:type="dxa" w:w="180"/>
            </w:tcMar>
          </w:tcPr>
          <w:p>
            <w:r>
              <w:rPr>
                <w:rFonts w:ascii="Arial" w:cs="Arial" w:eastAsia="Arial" w:hAnsi="Arial"/>
                <w:b/>
                <w:bCs/>
                <w:color w:val="1A5C38"/>
                <w:sz w:val="20"/>
                <w:szCs w:val="20"/>
              </w:rPr>
              <w:t xml:space="preserve">Interview Answer: "I tested that held instructions were fully blocked from settlement and that the release process correctly reactivated them. I found a P1 defect where a concurrent process bypassed hold status — I documented it with reproduction steps, the Oracle SQL showing the incorrect status update, and expected vs actual behavior."</w:t>
            </w:r>
          </w:p>
        </w:tc>
      </w:tr>
    </w:tbl>
    <w:p>
      <w:pPr>
        <w:spacing w:after="0" w:before="160"/>
      </w:pPr>
      <w:r>
        <w:t xml:space="preserve"/>
      </w:r>
    </w:p>
    <w:p>
      <w:pPr>
        <w:pStyle w:val="Heading2"/>
      </w:pPr>
      <w:r>
        <w:rPr>
          <w:rFonts w:ascii="Arial" w:cs="Arial" w:eastAsia="Arial" w:hAnsi="Arial"/>
          <w:b/>
          <w:bCs/>
          <w:color w:val="2E5F9A"/>
          <w:sz w:val="26"/>
          <w:szCs w:val="26"/>
        </w:rPr>
        <w:t xml:space="preserve">Module 4: Alleged Instructions — Enquiry</w:t>
      </w:r>
    </w:p>
    <w:p>
      <w:pPr>
        <w:spacing w:after="60" w:before="60"/>
      </w:pPr>
      <w:r>
        <w:rPr>
          <w:rFonts w:ascii="Arial" w:cs="Arial" w:eastAsia="Arial" w:hAnsi="Arial"/>
          <w:b/>
          <w:bCs/>
          <w:color w:val="000000"/>
          <w:sz w:val="20"/>
          <w:szCs w:val="20"/>
        </w:rPr>
        <w:t xml:space="preserve">This is the most complex and business-critical module in DB Sire.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Sub-Module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Enquiry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Search, filter, and investigate alleged instructions received from CSDs and counterparties</w:t>
            </w:r>
          </w:p>
        </w:tc>
      </w:tr>
    </w:tbl>
    <w:p>
      <w:pPr>
        <w:spacing w:after="0" w:before="80"/>
      </w:pPr>
      <w:r>
        <w:t xml:space="preserve"/>
      </w:r>
    </w:p>
    <w:p>
      <w:pPr>
        <w:pStyle w:val="Heading3"/>
      </w:pPr>
      <w:r>
        <w:rPr>
          <w:rFonts w:ascii="Arial" w:cs="Arial" w:eastAsia="Arial" w:hAnsi="Arial"/>
          <w:b/>
          <w:bCs/>
          <w:color w:val="2E5F9A"/>
          <w:sz w:val="22"/>
          <w:szCs w:val="22"/>
        </w:rPr>
        <w:t xml:space="preserve">What is an Alleged Instruction?</w:t>
      </w:r>
    </w:p>
    <w:p>
      <w:pPr>
        <w:spacing w:after="60" w:before="60"/>
      </w:pPr>
      <w:r>
        <w:rPr>
          <w:rFonts w:ascii="Arial" w:cs="Arial" w:eastAsia="Arial" w:hAnsi="Arial"/>
          <w:b w:val="false"/>
          <w:bCs w:val="false"/>
          <w:color w:val="000000"/>
          <w:sz w:val="20"/>
          <w:szCs w:val="20"/>
        </w:rPr>
        <w:t xml:space="preserve">An alleged instruction is a settlement message (MT578) received from a CSD or counterparty for which NO matching instruction exists on Deutsche Bank's side. It represents a unilateral claim that a settlement should occur.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Counterparty Claims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DB Sire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 are delivering 250,000 units of BE0002401736 to Deutsche Bank on 14/05/2024"</w:t>
            </w:r>
          </w:p>
        </w:tc>
        <w:tc>
          <w:tcPr>
            <w:tcW w:type="dxa" w:w="468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 Sire searches for a matching internal instruction... NONE FOUND → Instruction becomes 'Alleged'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Matching Rate = 0</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match found at all — requires investigation by operations team</w:t>
            </w:r>
          </w:p>
        </w:tc>
      </w:tr>
    </w:tbl>
    <w:p>
      <w:pPr>
        <w:spacing w:after="0" w:before="80"/>
      </w:pPr>
      <w:r>
        <w:t xml:space="preserve"/>
      </w:r>
    </w:p>
    <w:p>
      <w:pPr>
        <w:pStyle w:val="Heading3"/>
      </w:pPr>
      <w:r>
        <w:rPr>
          <w:rFonts w:ascii="Arial" w:cs="Arial" w:eastAsia="Arial" w:hAnsi="Arial"/>
          <w:b/>
          <w:bCs/>
          <w:color w:val="2E5F9A"/>
          <w:sz w:val="22"/>
          <w:szCs w:val="22"/>
        </w:rPr>
        <w:t xml:space="preserve">Why Alleged Instructions Matter</w:t>
      </w:r>
    </w:p>
    <w:p>
      <w:pPr>
        <w:pStyle w:val="ListParagraph"/>
        <w:numPr>
          <w:ilvl w:val="0"/>
          <w:numId w:val="2"/>
        </w:numPr>
        <w:spacing w:after="40" w:before="40"/>
      </w:pPr>
      <w:r>
        <w:rPr>
          <w:rFonts w:ascii="Arial" w:cs="Arial" w:eastAsia="Arial" w:hAnsi="Arial"/>
          <w:b w:val="false"/>
          <w:bCs w:val="false"/>
          <w:color w:val="000000"/>
          <w:sz w:val="20"/>
          <w:szCs w:val="20"/>
        </w:rPr>
        <w:t xml:space="preserve">Settlement failure → financial penalties from the CSD</w:t>
      </w:r>
    </w:p>
    <w:p>
      <w:pPr>
        <w:pStyle w:val="ListParagraph"/>
        <w:numPr>
          <w:ilvl w:val="0"/>
          <w:numId w:val="2"/>
        </w:numPr>
        <w:spacing w:after="40" w:before="40"/>
      </w:pPr>
      <w:r>
        <w:rPr>
          <w:rFonts w:ascii="Arial" w:cs="Arial" w:eastAsia="Arial" w:hAnsi="Arial"/>
          <w:b w:val="false"/>
          <w:bCs w:val="false"/>
          <w:color w:val="000000"/>
          <w:sz w:val="20"/>
          <w:szCs w:val="20"/>
        </w:rPr>
        <w:t xml:space="preserve">Reputational damage with counterparties</w:t>
      </w:r>
    </w:p>
    <w:p>
      <w:pPr>
        <w:pStyle w:val="ListParagraph"/>
        <w:numPr>
          <w:ilvl w:val="0"/>
          <w:numId w:val="2"/>
        </w:numPr>
        <w:spacing w:after="40" w:before="40"/>
      </w:pPr>
      <w:r>
        <w:rPr>
          <w:rFonts w:ascii="Arial" w:cs="Arial" w:eastAsia="Arial" w:hAnsi="Arial"/>
          <w:b w:val="false"/>
          <w:bCs w:val="false"/>
          <w:color w:val="000000"/>
          <w:sz w:val="20"/>
          <w:szCs w:val="20"/>
        </w:rPr>
        <w:t xml:space="preserve">Regulatory reporting obligations</w:t>
      </w:r>
    </w:p>
    <w:p>
      <w:pPr>
        <w:pStyle w:val="ListParagraph"/>
        <w:numPr>
          <w:ilvl w:val="0"/>
          <w:numId w:val="2"/>
        </w:numPr>
        <w:spacing w:after="40" w:before="40"/>
      </w:pPr>
      <w:r>
        <w:rPr>
          <w:rFonts w:ascii="Arial" w:cs="Arial" w:eastAsia="Arial" w:hAnsi="Arial"/>
          <w:b w:val="false"/>
          <w:bCs w:val="false"/>
          <w:color w:val="000000"/>
          <w:sz w:val="20"/>
          <w:szCs w:val="20"/>
        </w:rPr>
        <w:t xml:space="preserve">Potential for forced buy-in (counterparty buys securities in the market at DB's cost)</w:t>
      </w:r>
    </w:p>
    <w:p>
      <w:pPr>
        <w:spacing w:after="0" w:before="80"/>
      </w:pPr>
      <w:r>
        <w:t xml:space="preserve"/>
      </w:r>
    </w:p>
    <w:p>
      <w:pPr>
        <w:pStyle w:val="Heading3"/>
      </w:pPr>
      <w:r>
        <w:rPr>
          <w:rFonts w:ascii="Arial" w:cs="Arial" w:eastAsia="Arial" w:hAnsi="Arial"/>
          <w:b/>
          <w:bCs/>
          <w:color w:val="2E5F9A"/>
          <w:sz w:val="22"/>
          <w:szCs w:val="22"/>
        </w:rPr>
        <w:t xml:space="preserve">Search Filters Available</w:t>
      </w:r>
    </w:p>
    <w:p>
      <w:pPr>
        <w:pStyle w:val="ListParagraph"/>
        <w:numPr>
          <w:ilvl w:val="0"/>
          <w:numId w:val="2"/>
        </w:numPr>
        <w:spacing w:after="40" w:before="40"/>
      </w:pPr>
      <w:r>
        <w:rPr>
          <w:rFonts w:ascii="Arial" w:cs="Arial" w:eastAsia="Arial" w:hAnsi="Arial"/>
          <w:b w:val="false"/>
          <w:bCs w:val="false"/>
          <w:color w:val="000000"/>
          <w:sz w:val="20"/>
          <w:szCs w:val="20"/>
        </w:rPr>
        <w:t xml:space="preserve">Branch (Amsterdam, Paris, Brussels, All)</w:t>
      </w:r>
    </w:p>
    <w:p>
      <w:pPr>
        <w:pStyle w:val="ListParagraph"/>
        <w:numPr>
          <w:ilvl w:val="0"/>
          <w:numId w:val="2"/>
        </w:numPr>
        <w:spacing w:after="40" w:before="40"/>
      </w:pPr>
      <w:r>
        <w:rPr>
          <w:rFonts w:ascii="Arial" w:cs="Arial" w:eastAsia="Arial" w:hAnsi="Arial"/>
          <w:b w:val="false"/>
          <w:bCs w:val="false"/>
          <w:color w:val="000000"/>
          <w:sz w:val="20"/>
          <w:szCs w:val="20"/>
        </w:rPr>
        <w:t xml:space="preserve">CSD (NBBE — Euronext Brussels, Euroclear, etc.)</w:t>
      </w:r>
    </w:p>
    <w:p>
      <w:pPr>
        <w:pStyle w:val="ListParagraph"/>
        <w:numPr>
          <w:ilvl w:val="0"/>
          <w:numId w:val="2"/>
        </w:numPr>
        <w:spacing w:after="40" w:before="40"/>
      </w:pPr>
      <w:r>
        <w:rPr>
          <w:rFonts w:ascii="Arial" w:cs="Arial" w:eastAsia="Arial" w:hAnsi="Arial"/>
          <w:b w:val="false"/>
          <w:bCs w:val="false"/>
          <w:color w:val="000000"/>
          <w:sz w:val="20"/>
          <w:szCs w:val="20"/>
        </w:rPr>
        <w:t xml:space="preserve">Message Type (RF = Receive Free, RVP = Receive vs Payment)</w:t>
      </w:r>
    </w:p>
    <w:p>
      <w:pPr>
        <w:pStyle w:val="ListParagraph"/>
        <w:numPr>
          <w:ilvl w:val="0"/>
          <w:numId w:val="2"/>
        </w:numPr>
        <w:spacing w:after="40" w:before="40"/>
      </w:pPr>
      <w:r>
        <w:rPr>
          <w:rFonts w:ascii="Arial" w:cs="Arial" w:eastAsia="Arial" w:hAnsi="Arial"/>
          <w:b w:val="false"/>
          <w:bCs w:val="false"/>
          <w:color w:val="000000"/>
          <w:sz w:val="20"/>
          <w:szCs w:val="20"/>
        </w:rPr>
        <w:t xml:space="preserve">Payment Indicator (FREE = DFP, DVP)</w:t>
      </w:r>
    </w:p>
    <w:p>
      <w:pPr>
        <w:pStyle w:val="ListParagraph"/>
        <w:numPr>
          <w:ilvl w:val="0"/>
          <w:numId w:val="2"/>
        </w:numPr>
        <w:spacing w:after="40" w:before="40"/>
      </w:pPr>
      <w:r>
        <w:rPr>
          <w:rFonts w:ascii="Arial" w:cs="Arial" w:eastAsia="Arial" w:hAnsi="Arial"/>
          <w:b w:val="false"/>
          <w:bCs w:val="false"/>
          <w:color w:val="000000"/>
          <w:sz w:val="20"/>
          <w:szCs w:val="20"/>
        </w:rPr>
        <w:t xml:space="preserve">Receipt/Delivery (DELI = we are delivering, RECE = we are receiving)</w:t>
      </w:r>
    </w:p>
    <w:p>
      <w:pPr>
        <w:pStyle w:val="ListParagraph"/>
        <w:numPr>
          <w:ilvl w:val="0"/>
          <w:numId w:val="2"/>
        </w:numPr>
        <w:spacing w:after="40" w:before="40"/>
      </w:pPr>
      <w:r>
        <w:rPr>
          <w:rFonts w:ascii="Arial" w:cs="Arial" w:eastAsia="Arial" w:hAnsi="Arial"/>
          <w:b w:val="false"/>
          <w:bCs w:val="false"/>
          <w:color w:val="000000"/>
          <w:sz w:val="20"/>
          <w:szCs w:val="20"/>
        </w:rPr>
        <w:t xml:space="preserve">Function (NEWM = New Message, AMND = Amendment, CANC = Cancel)</w:t>
      </w:r>
    </w:p>
    <w:p>
      <w:pPr>
        <w:pStyle w:val="ListParagraph"/>
        <w:numPr>
          <w:ilvl w:val="0"/>
          <w:numId w:val="2"/>
        </w:numPr>
        <w:spacing w:after="40" w:before="40"/>
      </w:pPr>
      <w:r>
        <w:rPr>
          <w:rFonts w:ascii="Arial" w:cs="Arial" w:eastAsia="Arial" w:hAnsi="Arial"/>
          <w:b w:val="false"/>
          <w:bCs w:val="false"/>
          <w:color w:val="000000"/>
          <w:sz w:val="20"/>
          <w:szCs w:val="20"/>
        </w:rPr>
        <w:t xml:space="preserve">ISIN Code, Trade Date, Settlement Date</w:t>
      </w:r>
    </w:p>
    <w:p>
      <w:pPr>
        <w:pStyle w:val="ListParagraph"/>
        <w:numPr>
          <w:ilvl w:val="0"/>
          <w:numId w:val="2"/>
        </w:numPr>
        <w:spacing w:after="40" w:before="40"/>
      </w:pPr>
      <w:r>
        <w:rPr>
          <w:rFonts w:ascii="Arial" w:cs="Arial" w:eastAsia="Arial" w:hAnsi="Arial"/>
          <w:b w:val="false"/>
          <w:bCs w:val="false"/>
          <w:color w:val="000000"/>
          <w:sz w:val="20"/>
          <w:szCs w:val="20"/>
        </w:rPr>
        <w:t xml:space="preserve">Own Account, Counterparty Account</w:t>
      </w:r>
    </w:p>
    <w:p>
      <w:pPr>
        <w:pStyle w:val="ListParagraph"/>
        <w:numPr>
          <w:ilvl w:val="0"/>
          <w:numId w:val="2"/>
        </w:numPr>
        <w:spacing w:after="40" w:before="40"/>
      </w:pPr>
      <w:r>
        <w:rPr>
          <w:rFonts w:ascii="Arial" w:cs="Arial" w:eastAsia="Arial" w:hAnsi="Arial"/>
          <w:b w:val="false"/>
          <w:bCs w:val="false"/>
          <w:color w:val="000000"/>
          <w:sz w:val="20"/>
          <w:szCs w:val="20"/>
        </w:rPr>
        <w:t xml:space="preserve">Active: Yes/No</w:t>
      </w:r>
    </w:p>
    <w:p>
      <w:pPr>
        <w:pStyle w:val="ListParagraph"/>
        <w:numPr>
          <w:ilvl w:val="0"/>
          <w:numId w:val="2"/>
        </w:numPr>
        <w:spacing w:after="40" w:before="40"/>
      </w:pPr>
      <w:r>
        <w:rPr>
          <w:rFonts w:ascii="Arial" w:cs="Arial" w:eastAsia="Arial" w:hAnsi="Arial"/>
          <w:b w:val="false"/>
          <w:bCs w:val="false"/>
          <w:color w:val="000000"/>
          <w:sz w:val="20"/>
          <w:szCs w:val="20"/>
        </w:rPr>
        <w:t xml:space="preserve">Matching Rate (0 = no match at all)</w:t>
      </w:r>
    </w:p>
    <w:p>
      <w:pPr>
        <w:spacing w:after="0" w:before="80"/>
      </w:pPr>
      <w:r>
        <w:t xml:space="preserve"/>
      </w:r>
    </w:p>
    <w:p>
      <w:pPr>
        <w:spacing w:after="60" w:before="60"/>
      </w:pPr>
      <w:r>
        <w:rPr>
          <w:rFonts w:ascii="Arial" w:cs="Arial" w:eastAsia="Arial" w:hAnsi="Arial"/>
          <w:b/>
          <w:bCs/>
          <w:color w:val="000000"/>
          <w:sz w:val="20"/>
          <w:szCs w:val="20"/>
        </w:rPr>
        <w:t xml:space="preserve">Related SWIFT Messages:</w:t>
      </w:r>
    </w:p>
    <w:p>
      <w:pPr>
        <w:pStyle w:val="ListParagraph"/>
        <w:numPr>
          <w:ilvl w:val="0"/>
          <w:numId w:val="2"/>
        </w:numPr>
        <w:spacing w:after="40" w:before="40"/>
      </w:pPr>
      <w:r>
        <w:rPr>
          <w:rFonts w:ascii="Arial" w:cs="Arial" w:eastAsia="Arial" w:hAnsi="Arial"/>
          <w:b w:val="false"/>
          <w:bCs w:val="false"/>
          <w:color w:val="000000"/>
          <w:sz w:val="20"/>
          <w:szCs w:val="20"/>
        </w:rPr>
        <w:t xml:space="preserve">MT578 — Settlement Allegement (CORE message for this module)</w:t>
      </w:r>
    </w:p>
    <w:p>
      <w:pPr>
        <w:pStyle w:val="ListParagraph"/>
        <w:numPr>
          <w:ilvl w:val="0"/>
          <w:numId w:val="2"/>
        </w:numPr>
        <w:spacing w:after="40" w:before="40"/>
      </w:pPr>
      <w:r>
        <w:rPr>
          <w:rFonts w:ascii="Arial" w:cs="Arial" w:eastAsia="Arial" w:hAnsi="Arial"/>
          <w:b w:val="false"/>
          <w:bCs w:val="false"/>
          <w:color w:val="000000"/>
          <w:sz w:val="20"/>
          <w:szCs w:val="20"/>
        </w:rPr>
        <w:t xml:space="preserve">MT548 — Settlement Status and Processing Advice</w:t>
      </w:r>
    </w:p>
    <w:p>
      <w:pPr>
        <w:pStyle w:val="ListParagraph"/>
        <w:numPr>
          <w:ilvl w:val="0"/>
          <w:numId w:val="2"/>
        </w:numPr>
        <w:spacing w:after="40" w:before="40"/>
      </w:pPr>
      <w:r>
        <w:rPr>
          <w:rFonts w:ascii="Arial" w:cs="Arial" w:eastAsia="Arial" w:hAnsi="Arial"/>
          <w:b w:val="false"/>
          <w:bCs w:val="false"/>
          <w:color w:val="000000"/>
          <w:sz w:val="20"/>
          <w:szCs w:val="20"/>
        </w:rPr>
        <w:t xml:space="preserve">MT558 — Trilateral Meeting Instruction/Request (three-party matching)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3"/>
              <w:left w:val="single" w:color="1A5C38" w:sz="8"/>
              <w:bottom w:val="single" w:color="1A5C38" w:sz="3"/>
              <w:right w:val="single" w:color="1A5C38" w:sz="3"/>
            </w:tcBorders>
            <w:shd w:fill="D4EFDF" w:val="clear"/>
            <w:tcMar>
              <w:top w:type="dxa" w:w="100"/>
              <w:left w:type="dxa" w:w="180"/>
              <w:bottom w:type="dxa" w:w="100"/>
              <w:right w:type="dxa" w:w="180"/>
            </w:tcMar>
          </w:tcPr>
          <w:p>
            <w:r>
              <w:rPr>
                <w:rFonts w:ascii="Arial" w:cs="Arial" w:eastAsia="Arial" w:hAnsi="Arial"/>
                <w:b/>
                <w:bCs/>
                <w:color w:val="1A5C38"/>
                <w:sz w:val="20"/>
                <w:szCs w:val="20"/>
              </w:rPr>
              <w:t xml:space="preserve">Interview Answer: "I tested alleged instruction enquiries using all filter combinations including CSD, ISIN, message type, and matching rate. I verified that unmatched MT578 messages appeared correctly in the module, validated pagination for 21+ records, and confirmed the matching rate field reflected the correct degree of match."</w:t>
            </w:r>
          </w:p>
        </w:tc>
      </w:tr>
    </w:tbl>
    <w:p>
      <w:pPr>
        <w:spacing w:after="0" w:before="160"/>
      </w:pPr>
      <w:r>
        <w:t xml:space="preserve"/>
      </w:r>
    </w:p>
    <w:p>
      <w:pPr>
        <w:pStyle w:val="Heading2"/>
      </w:pPr>
      <w:r>
        <w:rPr>
          <w:rFonts w:ascii="Arial" w:cs="Arial" w:eastAsia="Arial" w:hAnsi="Arial"/>
          <w:b/>
          <w:bCs/>
          <w:color w:val="2E5F9A"/>
          <w:sz w:val="26"/>
          <w:szCs w:val="26"/>
        </w:rPr>
        <w:t xml:space="preserve">Module 5: Stock Balance — Enquiry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Sub-Module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Enquiry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View current securities holdings per account at a given CSD to verify availability before settlement</w:t>
            </w:r>
          </w:p>
        </w:tc>
      </w:tr>
    </w:tbl>
    <w:p>
      <w:pPr>
        <w:spacing w:after="0" w:before="80"/>
      </w:pPr>
      <w:r>
        <w:t xml:space="preserve"/>
      </w:r>
    </w:p>
    <w:p>
      <w:pPr>
        <w:spacing w:after="60" w:before="60"/>
      </w:pPr>
      <w:r>
        <w:rPr>
          <w:rFonts w:ascii="Arial" w:cs="Arial" w:eastAsia="Arial" w:hAnsi="Arial"/>
          <w:b w:val="false"/>
          <w:bCs w:val="false"/>
          <w:color w:val="000000"/>
          <w:sz w:val="20"/>
          <w:szCs w:val="20"/>
        </w:rPr>
        <w:t xml:space="preserve">Stock Balance shows real-time or end-of-day securities positions held at CSDs like NBBE. Before settling a delivery instruction, the system checks if sufficient stock is available in Oracle DB.</w:t>
      </w:r>
    </w:p>
    <w:p>
      <w:pPr>
        <w:spacing w:after="0" w:before="80"/>
      </w:pPr>
      <w:r>
        <w:t xml:space="preserve"/>
      </w:r>
    </w:p>
    <w:p>
      <w:pPr>
        <w:pStyle w:val="Heading3"/>
      </w:pPr>
      <w:r>
        <w:rPr>
          <w:rFonts w:ascii="Arial" w:cs="Arial" w:eastAsia="Arial" w:hAnsi="Arial"/>
          <w:b/>
          <w:bCs/>
          <w:color w:val="2E5F9A"/>
          <w:sz w:val="22"/>
          <w:szCs w:val="22"/>
        </w:rPr>
        <w:t xml:space="preserve">Key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A" w:sz="1"/>
              <w:left w:val="single" w:color="2E5F9A" w:sz="1"/>
              <w:bottom w:val="single" w:color="2E5F9A" w:sz="1"/>
              <w:right w:val="single" w:color="2E5F9A" w:sz="1"/>
            </w:tcBorders>
            <w:shd w:fill="D6E4F0" w:val="clear"/>
            <w:tcMar>
              <w:top w:type="dxa" w:w="80"/>
              <w:left w:type="dxa" w:w="200"/>
              <w:bottom w:type="dxa" w:w="80"/>
              <w:right w:type="dxa" w:w="120"/>
            </w:tcMar>
          </w:tcPr>
          <w:p>
            <w:r>
              <w:rPr>
                <w:rFonts w:ascii="Arial" w:cs="Arial" w:eastAsia="Arial" w:hAnsi="Arial"/>
                <w:b/>
                <w:bCs/>
                <w:color w:val="1F3864"/>
                <w:sz w:val="20"/>
                <w:szCs w:val="20"/>
              </w:rPr>
              <w:t xml:space="preserve">STOCK BALANCE SCENARIOS</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Scenario A: Sufficient Balance → Delivery instruction settles normally</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Scenario B: Insufficient Balance → Instruction fails or queued for next settlement cycle</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Scenario C: Post-Settlement → Balance decremented automatically after successful settlement</w:t>
            </w:r>
          </w:p>
        </w:tc>
      </w:tr>
    </w:tbl>
    <w:p>
      <w:pPr>
        <w:spacing w:after="0" w:before="80"/>
      </w:pPr>
      <w:r>
        <w:t xml:space="preserve"/>
      </w:r>
    </w:p>
    <w:p>
      <w:pPr>
        <w:spacing w:after="60" w:before="60"/>
      </w:pPr>
      <w:r>
        <w:rPr>
          <w:rFonts w:ascii="Arial" w:cs="Arial" w:eastAsia="Arial" w:hAnsi="Arial"/>
          <w:b/>
          <w:bCs/>
          <w:color w:val="000000"/>
          <w:sz w:val="20"/>
          <w:szCs w:val="20"/>
        </w:rPr>
        <w:t xml:space="preserve">Related SWIFT Messages:</w:t>
      </w:r>
    </w:p>
    <w:p>
      <w:pPr>
        <w:pStyle w:val="ListParagraph"/>
        <w:numPr>
          <w:ilvl w:val="0"/>
          <w:numId w:val="2"/>
        </w:numPr>
        <w:spacing w:after="40" w:before="40"/>
      </w:pPr>
      <w:r>
        <w:rPr>
          <w:rFonts w:ascii="Arial" w:cs="Arial" w:eastAsia="Arial" w:hAnsi="Arial"/>
          <w:b w:val="false"/>
          <w:bCs w:val="false"/>
          <w:color w:val="000000"/>
          <w:sz w:val="20"/>
          <w:szCs w:val="20"/>
        </w:rPr>
        <w:t xml:space="preserve">MT535 — Statement of Holdings (periodic balance report from CSD)</w:t>
      </w:r>
    </w:p>
    <w:p>
      <w:pPr>
        <w:pStyle w:val="ListParagraph"/>
        <w:numPr>
          <w:ilvl w:val="0"/>
          <w:numId w:val="2"/>
        </w:numPr>
        <w:spacing w:after="40" w:before="40"/>
      </w:pPr>
      <w:r>
        <w:rPr>
          <w:rFonts w:ascii="Arial" w:cs="Arial" w:eastAsia="Arial" w:hAnsi="Arial"/>
          <w:b w:val="false"/>
          <w:bCs w:val="false"/>
          <w:color w:val="000000"/>
          <w:sz w:val="20"/>
          <w:szCs w:val="20"/>
        </w:rPr>
        <w:t xml:space="preserve">MT536 — Statement of Transactions (movements report)</w:t>
      </w:r>
    </w:p>
    <w:p>
      <w:pPr>
        <w:pStyle w:val="ListParagraph"/>
        <w:numPr>
          <w:ilvl w:val="0"/>
          <w:numId w:val="2"/>
        </w:numPr>
        <w:spacing w:after="40" w:before="40"/>
      </w:pPr>
      <w:r>
        <w:rPr>
          <w:rFonts w:ascii="Arial" w:cs="Arial" w:eastAsia="Arial" w:hAnsi="Arial"/>
          <w:b w:val="false"/>
          <w:bCs w:val="false"/>
          <w:color w:val="000000"/>
          <w:sz w:val="20"/>
          <w:szCs w:val="20"/>
        </w:rPr>
        <w:t xml:space="preserve">MT537 — Statement of Pending Transactions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3"/>
              <w:left w:val="single" w:color="1A5C38" w:sz="8"/>
              <w:bottom w:val="single" w:color="1A5C38" w:sz="3"/>
              <w:right w:val="single" w:color="1A5C38" w:sz="3"/>
            </w:tcBorders>
            <w:shd w:fill="D4EFDF" w:val="clear"/>
            <w:tcMar>
              <w:top w:type="dxa" w:w="100"/>
              <w:left w:type="dxa" w:w="180"/>
              <w:bottom w:type="dxa" w:w="100"/>
              <w:right w:type="dxa" w:w="180"/>
            </w:tcMar>
          </w:tcPr>
          <w:p>
            <w:r>
              <w:rPr>
                <w:rFonts w:ascii="Arial" w:cs="Arial" w:eastAsia="Arial" w:hAnsi="Arial"/>
                <w:b/>
                <w:bCs/>
                <w:color w:val="1A5C38"/>
                <w:sz w:val="20"/>
                <w:szCs w:val="20"/>
              </w:rPr>
              <w:t xml:space="preserve">Interview Answer: "I verified stock balances before and after settlement processing and confirmed that delivery instructions failed correctly when balances were insufficient. I cross-checked Oracle DB balance tables against UI values using SQL queries."</w:t>
            </w:r>
          </w:p>
        </w:tc>
      </w:tr>
    </w:tbl>
    <w:p>
      <w:pPr>
        <w:spacing w:after="0" w:before="160"/>
      </w:pPr>
      <w:r>
        <w:t xml:space="preserve"/>
      </w:r>
    </w:p>
    <w:p>
      <w:pPr>
        <w:pStyle w:val="Heading2"/>
      </w:pPr>
      <w:r>
        <w:rPr>
          <w:rFonts w:ascii="Arial" w:cs="Arial" w:eastAsia="Arial" w:hAnsi="Arial"/>
          <w:b/>
          <w:bCs/>
          <w:color w:val="2E5F9A"/>
          <w:sz w:val="26"/>
          <w:szCs w:val="26"/>
        </w:rPr>
        <w:t xml:space="preserve">Module 6: Corporate Actions — CA Error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Sub-Module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Modify → Filter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Edit failed corporate action processing records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Validate → Filter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Re-validate corrected CA records before reprocessing</w:t>
            </w:r>
          </w:p>
        </w:tc>
      </w:tr>
    </w:tbl>
    <w:p>
      <w:pPr>
        <w:spacing w:after="0" w:before="80"/>
      </w:pPr>
      <w:r>
        <w:t xml:space="preserve"/>
      </w:r>
    </w:p>
    <w:p>
      <w:pPr>
        <w:spacing w:after="60" w:before="60"/>
      </w:pPr>
      <w:r>
        <w:rPr>
          <w:rFonts w:ascii="Arial" w:cs="Arial" w:eastAsia="Arial" w:hAnsi="Arial"/>
          <w:b w:val="false"/>
          <w:bCs w:val="false"/>
          <w:color w:val="000000"/>
          <w:sz w:val="20"/>
          <w:szCs w:val="20"/>
        </w:rPr>
        <w:t xml:space="preserve">Corporate Actions are events that affect the value or structure of securities. DB Sire processes entitlements (what clients are owed) based on their holdings at record date. When CA processing fails, errors land in the CA Error Queue.</w:t>
      </w:r>
    </w:p>
    <w:p>
      <w:pPr>
        <w:spacing w:after="0" w:before="80"/>
      </w:pPr>
      <w:r>
        <w:t xml:space="preserve"/>
      </w:r>
    </w:p>
    <w:p>
      <w:pPr>
        <w:pStyle w:val="Heading3"/>
      </w:pPr>
      <w:r>
        <w:rPr>
          <w:rFonts w:ascii="Arial" w:cs="Arial" w:eastAsia="Arial" w:hAnsi="Arial"/>
          <w:b/>
          <w:bCs/>
          <w:color w:val="2E5F9A"/>
          <w:sz w:val="22"/>
          <w:szCs w:val="22"/>
        </w:rPr>
        <w:t xml:space="preserve">Types of Corporate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Type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Examples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Mandatory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Dividends, stock splits, bond redemptions, mergers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Voluntary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Rights issues, tender offers, exchange offers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Mandatory with Options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Dividend with reinvestment choice</w:t>
            </w:r>
          </w:p>
        </w:tc>
      </w:tr>
    </w:tbl>
    <w:p>
      <w:pPr>
        <w:spacing w:after="0" w:before="80"/>
      </w:pPr>
      <w:r>
        <w:t xml:space="preserve"/>
      </w:r>
    </w:p>
    <w:p>
      <w:pPr>
        <w:pStyle w:val="Heading3"/>
      </w:pPr>
      <w:r>
        <w:rPr>
          <w:rFonts w:ascii="Arial" w:cs="Arial" w:eastAsia="Arial" w:hAnsi="Arial"/>
          <w:b/>
          <w:bCs/>
          <w:color w:val="2E5F9A"/>
          <w:sz w:val="22"/>
          <w:szCs w:val="22"/>
        </w:rPr>
        <w:t xml:space="preserve">Common CA Errors</w:t>
      </w:r>
    </w:p>
    <w:p>
      <w:pPr>
        <w:pStyle w:val="ListParagraph"/>
        <w:numPr>
          <w:ilvl w:val="0"/>
          <w:numId w:val="2"/>
        </w:numPr>
        <w:spacing w:after="40" w:before="40"/>
      </w:pPr>
      <w:r>
        <w:rPr>
          <w:rFonts w:ascii="Arial" w:cs="Arial" w:eastAsia="Arial" w:hAnsi="Arial"/>
          <w:b w:val="false"/>
          <w:bCs w:val="false"/>
          <w:color w:val="000000"/>
          <w:sz w:val="20"/>
          <w:szCs w:val="20"/>
        </w:rPr>
        <w:t xml:space="preserve">Incorrect ex-date or record date</w:t>
      </w:r>
    </w:p>
    <w:p>
      <w:pPr>
        <w:pStyle w:val="ListParagraph"/>
        <w:numPr>
          <w:ilvl w:val="0"/>
          <w:numId w:val="2"/>
        </w:numPr>
        <w:spacing w:after="40" w:before="40"/>
      </w:pPr>
      <w:r>
        <w:rPr>
          <w:rFonts w:ascii="Arial" w:cs="Arial" w:eastAsia="Arial" w:hAnsi="Arial"/>
          <w:b w:val="false"/>
          <w:bCs w:val="false"/>
          <w:color w:val="000000"/>
          <w:sz w:val="20"/>
          <w:szCs w:val="20"/>
        </w:rPr>
        <w:t xml:space="preserve">Wrong entitlement calculation (quantity or cash amount)</w:t>
      </w:r>
    </w:p>
    <w:p>
      <w:pPr>
        <w:pStyle w:val="ListParagraph"/>
        <w:numPr>
          <w:ilvl w:val="0"/>
          <w:numId w:val="2"/>
        </w:numPr>
        <w:spacing w:after="40" w:before="40"/>
      </w:pPr>
      <w:r>
        <w:rPr>
          <w:rFonts w:ascii="Arial" w:cs="Arial" w:eastAsia="Arial" w:hAnsi="Arial"/>
          <w:b w:val="false"/>
          <w:bCs w:val="false"/>
          <w:color w:val="000000"/>
          <w:sz w:val="20"/>
          <w:szCs w:val="20"/>
        </w:rPr>
        <w:t xml:space="preserve">Missing election instruction for voluntary CA</w:t>
      </w:r>
    </w:p>
    <w:p>
      <w:pPr>
        <w:pStyle w:val="ListParagraph"/>
        <w:numPr>
          <w:ilvl w:val="0"/>
          <w:numId w:val="2"/>
        </w:numPr>
        <w:spacing w:after="40" w:before="40"/>
      </w:pPr>
      <w:r>
        <w:rPr>
          <w:rFonts w:ascii="Arial" w:cs="Arial" w:eastAsia="Arial" w:hAnsi="Arial"/>
          <w:b w:val="false"/>
          <w:bCs w:val="false"/>
          <w:color w:val="000000"/>
          <w:sz w:val="20"/>
          <w:szCs w:val="20"/>
        </w:rPr>
        <w:t xml:space="preserve">Account mapping failure in Oracle DB</w:t>
      </w:r>
    </w:p>
    <w:p>
      <w:pPr>
        <w:pStyle w:val="ListParagraph"/>
        <w:numPr>
          <w:ilvl w:val="0"/>
          <w:numId w:val="2"/>
        </w:numPr>
        <w:spacing w:after="40" w:before="40"/>
      </w:pPr>
      <w:r>
        <w:rPr>
          <w:rFonts w:ascii="Arial" w:cs="Arial" w:eastAsia="Arial" w:hAnsi="Arial"/>
          <w:b w:val="false"/>
          <w:bCs w:val="false"/>
          <w:color w:val="000000"/>
          <w:sz w:val="20"/>
          <w:szCs w:val="20"/>
        </w:rPr>
        <w:t xml:space="preserve">ISIN transformation errors (old ISIN → new ISIN after stock split)</w:t>
      </w:r>
    </w:p>
    <w:p>
      <w:pPr>
        <w:spacing w:after="0" w:before="80"/>
      </w:pPr>
      <w:r>
        <w:t xml:space="preserve"/>
      </w:r>
    </w:p>
    <w:p>
      <w:pPr>
        <w:pStyle w:val="Heading3"/>
      </w:pPr>
      <w:r>
        <w:rPr>
          <w:rFonts w:ascii="Arial" w:cs="Arial" w:eastAsia="Arial" w:hAnsi="Arial"/>
          <w:b/>
          <w:bCs/>
          <w:color w:val="2E5F9A"/>
          <w:sz w:val="22"/>
          <w:szCs w:val="22"/>
        </w:rPr>
        <w:t xml:space="preserv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A" w:sz="1"/>
              <w:left w:val="single" w:color="2E5F9A" w:sz="1"/>
              <w:bottom w:val="single" w:color="2E5F9A" w:sz="1"/>
              <w:right w:val="single" w:color="2E5F9A" w:sz="1"/>
            </w:tcBorders>
            <w:shd w:fill="D6E4F0" w:val="clear"/>
            <w:tcMar>
              <w:top w:type="dxa" w:w="80"/>
              <w:left w:type="dxa" w:w="200"/>
              <w:bottom w:type="dxa" w:w="80"/>
              <w:right w:type="dxa" w:w="120"/>
            </w:tcMar>
          </w:tcPr>
          <w:p>
            <w:r>
              <w:rPr>
                <w:rFonts w:ascii="Arial" w:cs="Arial" w:eastAsia="Arial" w:hAnsi="Arial"/>
                <w:b/>
                <w:bCs/>
                <w:color w:val="1F3864"/>
                <w:sz w:val="20"/>
                <w:szCs w:val="20"/>
              </w:rPr>
              <w:t xml:space="preserve">CA ERROR QUEUE WORKFLOW (same pattern as Settlements Error Queue)</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1 → Corporate action processing fails</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2 → Error appears in CA Error Queue</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3 → User opens Modify → Corrects entitlement data, dates, account mappings</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4 → Runs Validate → System re-checks business rules</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5 → Resubmit → CA reprocessed and applied to client holdings</w:t>
            </w:r>
          </w:p>
        </w:tc>
      </w:tr>
    </w:tbl>
    <w:p>
      <w:pPr>
        <w:spacing w:after="0" w:before="80"/>
      </w:pPr>
      <w:r>
        <w:t xml:space="preserve"/>
      </w:r>
    </w:p>
    <w:p>
      <w:pPr>
        <w:spacing w:after="60" w:before="60"/>
      </w:pPr>
      <w:r>
        <w:rPr>
          <w:rFonts w:ascii="Arial" w:cs="Arial" w:eastAsia="Arial" w:hAnsi="Arial"/>
          <w:b/>
          <w:bCs/>
          <w:color w:val="000000"/>
          <w:sz w:val="20"/>
          <w:szCs w:val="20"/>
        </w:rPr>
        <w:t xml:space="preserve">Related SWIFT Messages:</w:t>
      </w:r>
    </w:p>
    <w:p>
      <w:pPr>
        <w:pStyle w:val="ListParagraph"/>
        <w:numPr>
          <w:ilvl w:val="0"/>
          <w:numId w:val="2"/>
        </w:numPr>
        <w:spacing w:after="40" w:before="40"/>
      </w:pPr>
      <w:r>
        <w:rPr>
          <w:rFonts w:ascii="Arial" w:cs="Arial" w:eastAsia="Arial" w:hAnsi="Arial"/>
          <w:b w:val="false"/>
          <w:bCs w:val="false"/>
          <w:color w:val="000000"/>
          <w:sz w:val="20"/>
          <w:szCs w:val="20"/>
        </w:rPr>
        <w:t xml:space="preserve">MT564 — Corporate Action Notification (event announcement)</w:t>
      </w:r>
    </w:p>
    <w:p>
      <w:pPr>
        <w:pStyle w:val="ListParagraph"/>
        <w:numPr>
          <w:ilvl w:val="0"/>
          <w:numId w:val="2"/>
        </w:numPr>
        <w:spacing w:after="40" w:before="40"/>
      </w:pPr>
      <w:r>
        <w:rPr>
          <w:rFonts w:ascii="Arial" w:cs="Arial" w:eastAsia="Arial" w:hAnsi="Arial"/>
          <w:b w:val="false"/>
          <w:bCs w:val="false"/>
          <w:color w:val="000000"/>
          <w:sz w:val="20"/>
          <w:szCs w:val="20"/>
        </w:rPr>
        <w:t xml:space="preserve">MT565 — Corporate Action Instruction (client election for voluntary CAs)</w:t>
      </w:r>
    </w:p>
    <w:p>
      <w:pPr>
        <w:pStyle w:val="ListParagraph"/>
        <w:numPr>
          <w:ilvl w:val="0"/>
          <w:numId w:val="2"/>
        </w:numPr>
        <w:spacing w:after="40" w:before="40"/>
      </w:pPr>
      <w:r>
        <w:rPr>
          <w:rFonts w:ascii="Arial" w:cs="Arial" w:eastAsia="Arial" w:hAnsi="Arial"/>
          <w:b w:val="false"/>
          <w:bCs w:val="false"/>
          <w:color w:val="000000"/>
          <w:sz w:val="20"/>
          <w:szCs w:val="20"/>
        </w:rPr>
        <w:t xml:space="preserve">MT566 — Corporate Action Confirmation</w:t>
      </w:r>
    </w:p>
    <w:p>
      <w:pPr>
        <w:pStyle w:val="ListParagraph"/>
        <w:numPr>
          <w:ilvl w:val="0"/>
          <w:numId w:val="2"/>
        </w:numPr>
        <w:spacing w:after="40" w:before="40"/>
      </w:pPr>
      <w:r>
        <w:rPr>
          <w:rFonts w:ascii="Arial" w:cs="Arial" w:eastAsia="Arial" w:hAnsi="Arial"/>
          <w:b w:val="false"/>
          <w:bCs w:val="false"/>
          <w:color w:val="000000"/>
          <w:sz w:val="20"/>
          <w:szCs w:val="20"/>
        </w:rPr>
        <w:t xml:space="preserve">MT567 — Corporate Action Status and Processing Advice</w:t>
      </w:r>
    </w:p>
    <w:p>
      <w:pPr>
        <w:pStyle w:val="ListParagraph"/>
        <w:numPr>
          <w:ilvl w:val="0"/>
          <w:numId w:val="2"/>
        </w:numPr>
        <w:spacing w:after="40" w:before="40"/>
      </w:pPr>
      <w:r>
        <w:rPr>
          <w:rFonts w:ascii="Arial" w:cs="Arial" w:eastAsia="Arial" w:hAnsi="Arial"/>
          <w:b w:val="false"/>
          <w:bCs w:val="false"/>
          <w:color w:val="000000"/>
          <w:sz w:val="20"/>
          <w:szCs w:val="20"/>
        </w:rPr>
        <w:t xml:space="preserve">MT568 — Corporate Action Narrative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3"/>
              <w:left w:val="single" w:color="1A5C38" w:sz="8"/>
              <w:bottom w:val="single" w:color="1A5C38" w:sz="3"/>
              <w:right w:val="single" w:color="1A5C38" w:sz="3"/>
            </w:tcBorders>
            <w:shd w:fill="D4EFDF" w:val="clear"/>
            <w:tcMar>
              <w:top w:type="dxa" w:w="100"/>
              <w:left w:type="dxa" w:w="180"/>
              <w:bottom w:type="dxa" w:w="100"/>
              <w:right w:type="dxa" w:w="180"/>
            </w:tcMar>
          </w:tcPr>
          <w:p>
            <w:r>
              <w:rPr>
                <w:rFonts w:ascii="Arial" w:cs="Arial" w:eastAsia="Arial" w:hAnsi="Arial"/>
                <w:b/>
                <w:bCs/>
                <w:color w:val="1A5C38"/>
                <w:sz w:val="20"/>
                <w:szCs w:val="20"/>
              </w:rPr>
              <w:t xml:space="preserve">Interview Answer: "I tested CA Error Queues by validating entitlement corrections (amounts and dates), ensuring modified records reprocessed successfully, and verifying Oracle DB was updated. The most challenging defect was where 'Modify' actions saved in UI but failed to update the backend settlement engine due to a database synchronization break."</w:t>
            </w:r>
          </w:p>
        </w:tc>
      </w:tr>
    </w:tbl>
    <w:p>
      <w:pPr>
        <w:spacing w:after="0" w:before="160"/>
      </w:pPr>
      <w:r>
        <w:t xml:space="preserve"/>
      </w:r>
    </w:p>
    <w:p>
      <w:pPr>
        <w:pStyle w:val="Heading2"/>
      </w:pPr>
      <w:r>
        <w:rPr>
          <w:rFonts w:ascii="Arial" w:cs="Arial" w:eastAsia="Arial" w:hAnsi="Arial"/>
          <w:b/>
          <w:bCs/>
          <w:color w:val="2E5F9A"/>
          <w:sz w:val="26"/>
          <w:szCs w:val="26"/>
        </w:rPr>
        <w:t xml:space="preserve">Module 7: Task —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Sub-Module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Processing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View and action tasks currently being worked on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Filter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Search tasks by status, type, assignment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View newly created or assigned tasks</w:t>
            </w:r>
          </w:p>
        </w:tc>
      </w:tr>
    </w:tbl>
    <w:p>
      <w:pPr>
        <w:spacing w:after="0" w:before="80"/>
      </w:pPr>
      <w:r>
        <w:t xml:space="preserve"/>
      </w:r>
    </w:p>
    <w:p>
      <w:pPr>
        <w:spacing w:after="60" w:before="60"/>
      </w:pPr>
      <w:r>
        <w:rPr>
          <w:rFonts w:ascii="Arial" w:cs="Arial" w:eastAsia="Arial" w:hAnsi="Arial"/>
          <w:b w:val="false"/>
          <w:bCs w:val="false"/>
          <w:color w:val="000000"/>
          <w:sz w:val="20"/>
          <w:szCs w:val="20"/>
        </w:rPr>
        <w:t xml:space="preserve">The Task module is an internal workflow engine. When instructions require manual intervention, investigation, or approval, tasks are auto-created and assigned to the appropriate operations team member.</w:t>
      </w:r>
    </w:p>
    <w:p>
      <w:pPr>
        <w:spacing w:after="0" w:before="80"/>
      </w:pPr>
      <w:r>
        <w:t xml:space="preserve"/>
      </w:r>
    </w:p>
    <w:p>
      <w:pPr>
        <w:pStyle w:val="Heading3"/>
      </w:pPr>
      <w:r>
        <w:rPr>
          <w:rFonts w:ascii="Arial" w:cs="Arial" w:eastAsia="Arial" w:hAnsi="Arial"/>
          <w:b/>
          <w:bCs/>
          <w:color w:val="2E5F9A"/>
          <w:sz w:val="22"/>
          <w:szCs w:val="22"/>
        </w:rPr>
        <w:t xml:space="preserve">Task Triggers (Auto-Created)</w:t>
      </w:r>
    </w:p>
    <w:p>
      <w:pPr>
        <w:pStyle w:val="ListParagraph"/>
        <w:numPr>
          <w:ilvl w:val="0"/>
          <w:numId w:val="2"/>
        </w:numPr>
        <w:spacing w:after="40" w:before="40"/>
      </w:pPr>
      <w:r>
        <w:rPr>
          <w:rFonts w:ascii="Arial" w:cs="Arial" w:eastAsia="Arial" w:hAnsi="Arial"/>
          <w:b w:val="false"/>
          <w:bCs w:val="false"/>
          <w:color w:val="000000"/>
          <w:sz w:val="20"/>
          <w:szCs w:val="20"/>
        </w:rPr>
        <w:t xml:space="preserve">Alleged instruction unresolved for more than X hours (SLA breach)</w:t>
      </w:r>
    </w:p>
    <w:p>
      <w:pPr>
        <w:pStyle w:val="ListParagraph"/>
        <w:numPr>
          <w:ilvl w:val="0"/>
          <w:numId w:val="2"/>
        </w:numPr>
        <w:spacing w:after="40" w:before="40"/>
      </w:pPr>
      <w:r>
        <w:rPr>
          <w:rFonts w:ascii="Arial" w:cs="Arial" w:eastAsia="Arial" w:hAnsi="Arial"/>
          <w:b w:val="false"/>
          <w:bCs w:val="false"/>
          <w:color w:val="000000"/>
          <w:sz w:val="20"/>
          <w:szCs w:val="20"/>
        </w:rPr>
        <w:t xml:space="preserve">Error queue item not actioned within SLA</w:t>
      </w:r>
    </w:p>
    <w:p>
      <w:pPr>
        <w:pStyle w:val="ListParagraph"/>
        <w:numPr>
          <w:ilvl w:val="0"/>
          <w:numId w:val="2"/>
        </w:numPr>
        <w:spacing w:after="40" w:before="40"/>
      </w:pPr>
      <w:r>
        <w:rPr>
          <w:rFonts w:ascii="Arial" w:cs="Arial" w:eastAsia="Arial" w:hAnsi="Arial"/>
          <w:b w:val="false"/>
          <w:bCs w:val="false"/>
          <w:color w:val="000000"/>
          <w:sz w:val="20"/>
          <w:szCs w:val="20"/>
        </w:rPr>
        <w:t xml:space="preserve">Large-value instruction flagged for manual review</w:t>
      </w:r>
    </w:p>
    <w:p>
      <w:pPr>
        <w:pStyle w:val="ListParagraph"/>
        <w:numPr>
          <w:ilvl w:val="0"/>
          <w:numId w:val="2"/>
        </w:numPr>
        <w:spacing w:after="40" w:before="40"/>
      </w:pPr>
      <w:r>
        <w:rPr>
          <w:rFonts w:ascii="Arial" w:cs="Arial" w:eastAsia="Arial" w:hAnsi="Arial"/>
          <w:b w:val="false"/>
          <w:bCs w:val="false"/>
          <w:color w:val="000000"/>
          <w:sz w:val="20"/>
          <w:szCs w:val="20"/>
        </w:rPr>
        <w:t xml:space="preserve">Hold/release requiring supervisor approval</w:t>
      </w:r>
    </w:p>
    <w:p>
      <w:pPr>
        <w:spacing w:after="0" w:before="80"/>
      </w:pPr>
      <w:r>
        <w:t xml:space="preserve"/>
      </w:r>
    </w:p>
    <w:p>
      <w:pPr>
        <w:pStyle w:val="Heading3"/>
      </w:pPr>
      <w:r>
        <w:rPr>
          <w:rFonts w:ascii="Arial" w:cs="Arial" w:eastAsia="Arial" w:hAnsi="Arial"/>
          <w:b/>
          <w:bCs/>
          <w:color w:val="2E5F9A"/>
          <w:sz w:val="22"/>
          <w:szCs w:val="22"/>
        </w:rPr>
        <w:t xml:space="preserv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A" w:sz="1"/>
              <w:left w:val="single" w:color="2E5F9A" w:sz="1"/>
              <w:bottom w:val="single" w:color="2E5F9A" w:sz="1"/>
              <w:right w:val="single" w:color="2E5F9A" w:sz="1"/>
            </w:tcBorders>
            <w:shd w:fill="D6E4F0" w:val="clear"/>
            <w:tcMar>
              <w:top w:type="dxa" w:w="80"/>
              <w:left w:type="dxa" w:w="200"/>
              <w:bottom w:type="dxa" w:w="80"/>
              <w:right w:type="dxa" w:w="120"/>
            </w:tcMar>
          </w:tcPr>
          <w:p>
            <w:r>
              <w:rPr>
                <w:rFonts w:ascii="Arial" w:cs="Arial" w:eastAsia="Arial" w:hAnsi="Arial"/>
                <w:b/>
                <w:bCs/>
                <w:color w:val="1F3864"/>
                <w:sz w:val="20"/>
                <w:szCs w:val="20"/>
              </w:rPr>
              <w:t xml:space="preserve">TASK PROCESSING WORKFLOW</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1 → Task auto-created by system (or manually by user)</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2 → Task assigned to appropriate operations team member</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3 → Team member investigates and processes the task</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4 → Task marked as Closed once resolved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3"/>
              <w:left w:val="single" w:color="1A5C38" w:sz="8"/>
              <w:bottom w:val="single" w:color="1A5C38" w:sz="3"/>
              <w:right w:val="single" w:color="1A5C38" w:sz="3"/>
            </w:tcBorders>
            <w:shd w:fill="D4EFDF" w:val="clear"/>
            <w:tcMar>
              <w:top w:type="dxa" w:w="100"/>
              <w:left w:type="dxa" w:w="180"/>
              <w:bottom w:type="dxa" w:w="100"/>
              <w:right w:type="dxa" w:w="180"/>
            </w:tcMar>
          </w:tcPr>
          <w:p>
            <w:r>
              <w:rPr>
                <w:rFonts w:ascii="Arial" w:cs="Arial" w:eastAsia="Arial" w:hAnsi="Arial"/>
                <w:b/>
                <w:bCs/>
                <w:color w:val="1A5C38"/>
                <w:sz w:val="20"/>
                <w:szCs w:val="20"/>
              </w:rPr>
              <w:t xml:space="preserve">Interview Answer: "I tested task auto-creation for SLA breaches, assignment logic, all status transitions (New→Processing→Closed), and ensured completed tasks couldn't be incorrectly reopened."</w:t>
            </w:r>
          </w:p>
        </w:tc>
      </w:tr>
    </w:tbl>
    <w:p>
      <w:pPr>
        <w:spacing w:after="0" w:before="160"/>
      </w:pPr>
      <w:r>
        <w:t xml:space="preserve"/>
      </w:r>
    </w:p>
    <w:p>
      <w:pPr>
        <w:pStyle w:val="Heading2"/>
      </w:pPr>
      <w:r>
        <w:rPr>
          <w:rFonts w:ascii="Arial" w:cs="Arial" w:eastAsia="Arial" w:hAnsi="Arial"/>
          <w:b/>
          <w:bCs/>
          <w:color w:val="2E5F9A"/>
          <w:sz w:val="26"/>
          <w:szCs w:val="26"/>
        </w:rPr>
        <w:t xml:space="preserve">Module 8: Session — Logout</w:t>
      </w:r>
    </w:p>
    <w:p>
      <w:pPr>
        <w:spacing w:after="60" w:before="60"/>
      </w:pPr>
      <w:r>
        <w:rPr>
          <w:rFonts w:ascii="Arial" w:cs="Arial" w:eastAsia="Arial" w:hAnsi="Arial"/>
          <w:b w:val="false"/>
          <w:bCs w:val="false"/>
          <w:color w:val="000000"/>
          <w:sz w:val="20"/>
          <w:szCs w:val="20"/>
        </w:rPr>
        <w:t xml:space="preserve">Standard secure session management. Tracks authenticated user sessions and provides secure logout. The logged-in role visible in the application was DCSEU (Deutsche Bank Client Securities EU Team). Testing included session timeout scenarios and verifying that session data was cleared on logout.</w:t>
      </w:r>
    </w:p>
    <w:p>
      <w:r>
        <w:br w:type="page"/>
      </w:r>
    </w:p>
    <w:p>
      <w:pPr>
        <w:pStyle w:val="Heading1"/>
      </w:pPr>
      <w:r>
        <w:rPr>
          <w:rFonts w:ascii="Arial" w:cs="Arial" w:eastAsia="Arial" w:hAnsi="Arial"/>
          <w:b/>
          <w:bCs/>
          <w:color w:val="1F3864"/>
          <w:sz w:val="32"/>
          <w:szCs w:val="32"/>
        </w:rPr>
        <w:t xml:space="preserve">4. SWIFT Messages — Complete Reference</w:t>
      </w:r>
    </w:p>
    <w:p>
      <w:pPr>
        <w:spacing w:after="60" w:before="60"/>
      </w:pPr>
      <w:r>
        <w:rPr>
          <w:rFonts w:ascii="Arial" w:cs="Arial" w:eastAsia="Arial" w:hAnsi="Arial"/>
          <w:b w:val="false"/>
          <w:bCs w:val="false"/>
          <w:color w:val="000000"/>
          <w:sz w:val="20"/>
          <w:szCs w:val="20"/>
        </w:rPr>
        <w:t xml:space="preserve">SWIFT (Society for Worldwide Interbank Financial Telecommunication) messages are the global standard for financial institution communication. DB Sire uses the MT5xx category messages for securities settlement.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400"/>
        <w:gridCol w:w="2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Message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Name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DB Sire Module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Direction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 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Manual Entry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 securities without payment (DFP)</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 Against Payment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Manual Entry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 securities vs cash (DVP)</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Deliver 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Manual Entry / Alleged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Deliver securities without payment (DFP)</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Deliver Against Payment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Manual Entry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Deliver securities vs cash (DVP)</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 Free Confirmation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Settlement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Confirms DFP receipt settled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 Against Payment Confirmation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Settlement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Confirms DVP receipt settled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Deliver Free Confirmation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Settlement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Confirms DFP delivery settled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Deliver Against Payment Confirmation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Settlement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Confirms DVP delivery settled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MT548</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Settlement Status Advice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 Queue, Hold</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pending, failed, cancelled, on hold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Transaction Processing Command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Manual 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Command to hold, cancel, or modify a pending instruction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Statement of Holdings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 Balance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Periodic balance report from CSD (NBBE)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Statement of 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 Balance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Record of securities movements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Statement of Pending 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 Balance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Pending / unconfirmed positions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MT558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Trilateral Meeting Instruction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Alleged Instructions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Three-party matching request</w:t>
            </w:r>
          </w:p>
        </w:tc>
      </w:tr>
      <w:tr>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7B4000"/>
                <w:sz w:val="18"/>
                <w:szCs w:val="18"/>
              </w:rPr>
              <w:t xml:space="preserve">MT578</w:t>
            </w:r>
          </w:p>
        </w:tc>
        <w:tc>
          <w:tcPr>
            <w:tcW w:type="dxa" w:w="2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Settlement Allegement</w:t>
            </w:r>
          </w:p>
        </w:tc>
        <w:tc>
          <w:tcPr>
            <w:tcW w:type="dxa" w:w="2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Alleged Instructions</w:t>
            </w:r>
          </w:p>
        </w:tc>
        <w:tc>
          <w:tcPr>
            <w:tcW w:type="dxa" w:w="1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CORE message — counterparty alleges a settlement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 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Corporate 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Announcement of a corporate action event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MT565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 Instruction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Corporate 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 election for voluntary corporate action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MT566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 Confirmation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Corporate 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Confirmation of CA processing</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MT567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 Status Advice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 Error Queue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of CA instruction processing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8"/>
              <w:bottom w:val="single" w:color="1F3864" w:sz="3"/>
              <w:right w:val="single" w:color="1F3864" w:sz="3"/>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Key to Remember: MT578 = Settlement Allegement (the CORE message for Alleged Instructions). MT548 = Status updates. MT54x (540-543) = Instruction types for receive/deliver free/vs payment.</w:t>
            </w:r>
          </w:p>
        </w:tc>
      </w:tr>
    </w:tbl>
    <w:p>
      <w:r>
        <w:br w:type="page"/>
      </w:r>
    </w:p>
    <w:p>
      <w:pPr>
        <w:pStyle w:val="Heading1"/>
      </w:pPr>
      <w:r>
        <w:rPr>
          <w:rFonts w:ascii="Arial" w:cs="Arial" w:eastAsia="Arial" w:hAnsi="Arial"/>
          <w:b/>
          <w:bCs/>
          <w:color w:val="1F3864"/>
          <w:sz w:val="32"/>
          <w:szCs w:val="32"/>
        </w:rPr>
        <w:t xml:space="preserve">5. Key Domain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Term</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Full Meaning / Explanation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CSD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Central Securities Depository — institution that holds securities electronically and enables settlement by book-entry (no physical certificates). Examples: NBBE (Brussels), Euroclear, Clearstream.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NBBE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NBB-Euroclear Belgium (BIC: NBBEBEBB216) — the CSD for Belgian/Euronext Brussels securities.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International Securities Identification Number — 12-character unique security identifier. Country prefix indicates origin: BE = Belgium, FR = France, NL = Netherlands. Example: BE0002401736.</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DVP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Delivery vs Payment — securities and cash move simultaneously. Reduces counterparty risk because neither party gives up their asset without receiving the other.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DFP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Delivery Free of Payment — securities move without simultaneous cash movement. Used for internal transfers, collateral moves, or corporate action entitlements.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Alleged Instruction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 MT578 message received from a counterparty/CSD claiming a settlement should occur, but no matching instruction exists on Deutsche Bank's side.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Matching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Score indicating how closely an alleged instruction matches a DB instruction. 0 = no match at all, 100 = full match. Operations teams use this to prioritize resolution.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Nominal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Quantity of securities in an instruction (e.g., 250,000 units). Different from Amount (the cash value).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NEWM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Function code NEWM = New Message — indicates a fresh instruction, not an amendment (AMND) or cancellation (CANC).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DELI / RECE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Receipt/Delivery indicator: DELI = we are delivering securities; RECE = we are receiving securities.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settlement cycle for Euronext — trade settles 2 business days after trade date. T+1 is also used for some instruments.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Euronext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Pan-European stock exchange operating in Amsterdam, Brussels, Paris, Lisbon, Dublin, Oslo, and Milan. DB Sire handles settlement for all Euronext markets.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Straight-Through Processing — automated end-to-end trade settlement with no manual intervention. DB Sire handles the exceptions (non-STP instructions).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JMS/MQ Queues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Java Message Service / IBM MQ — async messaging infrastructure between Java services in DB Sire. Instructions are processed via queues for asynchronous settlement.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Branch Codes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AMS = Amsterdam, PAR = Paris, BRU = Brussels. Users can only access instructions for their authorized branch.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 Reference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reference assigned by client (e.g., GOSN1404C1). Used to trace instructions across systems.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Place of Settlement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BIC code of the CSD where settlement will occur. Example: NBBEBEBB216 = NBB-Euroclear Belgium Brussels.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DCSEU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Deutsche Bank Client Securities EU — the operations team role. Responsible for Euronext market settlement operations.</w:t>
            </w:r>
          </w:p>
        </w:tc>
      </w:tr>
    </w:tbl>
    <w:p>
      <w:r>
        <w:br w:type="page"/>
      </w:r>
    </w:p>
    <w:p>
      <w:pPr>
        <w:pStyle w:val="Heading1"/>
      </w:pPr>
      <w:r>
        <w:rPr>
          <w:rFonts w:ascii="Arial" w:cs="Arial" w:eastAsia="Arial" w:hAnsi="Arial"/>
          <w:b/>
          <w:bCs/>
          <w:color w:val="1F3864"/>
          <w:sz w:val="32"/>
          <w:szCs w:val="32"/>
        </w:rPr>
        <w:t xml:space="preserve">6. QA Testing Approach</w:t>
      </w:r>
    </w:p>
    <w:p>
      <w:pPr>
        <w:pStyle w:val="Heading2"/>
      </w:pPr>
      <w:r>
        <w:rPr>
          <w:rFonts w:ascii="Arial" w:cs="Arial" w:eastAsia="Arial" w:hAnsi="Arial"/>
          <w:b/>
          <w:bCs/>
          <w:color w:val="2E5F9A"/>
          <w:sz w:val="26"/>
          <w:szCs w:val="26"/>
        </w:rPr>
        <w:t xml:space="preserve">6.1  Types of Testing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Testing Type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What was tested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Functional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modules — Error Queue, Manual Entry, Hold/Release, Alleged Instructions, Stock Balance, Corporate Actions, Task Processing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Integration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SWIFT message → DB Sire → Oracle DB flow; Message broker queue delivery; Java service interactions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Regression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After each bug fix to ensure existing functionality was not broken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Validation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Cross-checking UI data against Oracle DB using SQL queries; verifying audit trail records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Boundary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 fields (past dates, non-business days), numeric amounts (negative, zero, max), ISIN format validation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Negative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Invalid ISIN, missing mandatory fields, duplicate instructions, unauthorized branch access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UI Automation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Selenium + Java + TestNG + Cucumber BDD for regression-critical flows; POM pattern for maintainability</w:t>
            </w:r>
          </w:p>
        </w:tc>
      </w:tr>
    </w:tbl>
    <w:p>
      <w:pPr>
        <w:spacing w:after="0" w:before="120"/>
      </w:pPr>
      <w:r>
        <w:t xml:space="preserve"/>
      </w:r>
    </w:p>
    <w:p>
      <w:pPr>
        <w:pStyle w:val="Heading2"/>
      </w:pPr>
      <w:r>
        <w:rPr>
          <w:rFonts w:ascii="Arial" w:cs="Arial" w:eastAsia="Arial" w:hAnsi="Arial"/>
          <w:b/>
          <w:bCs/>
          <w:color w:val="2E5F9A"/>
          <w:sz w:val="26"/>
          <w:szCs w:val="26"/>
        </w:rPr>
        <w:t xml:space="preserve">6.2  Automation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Component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Technology / Approach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UI Automation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Selenium WebDriver — web-based app with cross-browser support; matches Java tech stack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Java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Test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TestNG — test execution, grouping, parallel runs, reporting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Build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Maven — dependency management, plugin configuration, build lifecycle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BDD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Cucumber — Gherkin feature files reviewed by BAs to confirm complex settlement scenarios were accurately captured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Design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 Object Model (POM) — each module (Settlements, Corporate Actions, etc.) has its own Page Class; common elements in BasePage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Locator 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Relative XPath (contains(), following-sibling) and CSS Selectors on stable text labels — avoiding volatile dynamic IDs from Struts/JSP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Synchronization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WebDriverWait + ExpectedConditions; JavaScriptExecutor to check document.readyState; Fluent Waits for heavy background processing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Test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Data-driven via Excel/Maven; DateGenerator utility for T+1/T+2 dates; API-based data setup via RestAssured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Reporting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Extent Reports / Cucumber HTML reports; screenshots on failure to distinguish script issues from functional bugs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Jenkins pipeline — every commit triggers TestNG suite execution; Cucumber HTML reports generated for team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API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RestAssured — used for API-based test data creation (e.g., create a trade via API so it appears in UI for settlement)</w:t>
            </w:r>
          </w:p>
        </w:tc>
      </w:tr>
    </w:tbl>
    <w:p>
      <w:pPr>
        <w:spacing w:after="0" w:before="120"/>
      </w:pPr>
      <w:r>
        <w:t xml:space="preserve"/>
      </w:r>
    </w:p>
    <w:p>
      <w:pPr>
        <w:pStyle w:val="Heading2"/>
      </w:pPr>
      <w:r>
        <w:rPr>
          <w:rFonts w:ascii="Arial" w:cs="Arial" w:eastAsia="Arial" w:hAnsi="Arial"/>
          <w:b/>
          <w:bCs/>
          <w:color w:val="2E5F9A"/>
          <w:sz w:val="26"/>
          <w:szCs w:val="26"/>
        </w:rPr>
        <w:t xml:space="preserve">6.3  End-to-End Verification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A" w:sz="1"/>
              <w:left w:val="single" w:color="2E5F9A" w:sz="1"/>
              <w:bottom w:val="single" w:color="2E5F9A" w:sz="1"/>
              <w:right w:val="single" w:color="2E5F9A" w:sz="1"/>
            </w:tcBorders>
            <w:shd w:fill="D6E4F0" w:val="clear"/>
            <w:tcMar>
              <w:top w:type="dxa" w:w="80"/>
              <w:left w:type="dxa" w:w="200"/>
              <w:bottom w:type="dxa" w:w="80"/>
              <w:right w:type="dxa" w:w="120"/>
            </w:tcMar>
          </w:tcPr>
          <w:p>
            <w:r>
              <w:rPr>
                <w:rFonts w:ascii="Arial" w:cs="Arial" w:eastAsia="Arial" w:hAnsi="Arial"/>
                <w:b/>
                <w:bCs/>
                <w:color w:val="1F3864"/>
                <w:sz w:val="20"/>
                <w:szCs w:val="20"/>
              </w:rPr>
              <w:t xml:space="preserve">END-TO-END DATA VERIFICATION FLOW</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1 → Trigger / create a settlement instruction (Manual Entry or SWIFT message simulation)</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2 → Verify it appears correctly in the appropriate queue or enquiry screen in DB Sire</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3 → Run Oracle SQL queries to confirm the record is correctly stored with all fields matching</w:t>
            </w:r>
          </w:p>
        </w:tc>
      </w:tr>
      <w:tr>
        <w:tc>
          <w:tcPr>
            <w:tcW w:type="dxa" w:w="9360"/>
            <w:tcBorders>
              <w:top w:val="single" w:color="2E5F9A" w:sz="1"/>
              <w:left w:val="single" w:color="2E5F9A" w:sz="1"/>
              <w:bottom w:val="single" w:color="2E5F9A" w:sz="1"/>
              <w:right w:val="single" w:color="2E5F9A" w:sz="1"/>
            </w:tcBorders>
            <w:shd w:fill="EAF2FB"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4 → Check audit trail — verify timestamps and user actions are logged</w:t>
            </w:r>
          </w:p>
        </w:tc>
      </w:tr>
      <w:tr>
        <w:tc>
          <w:tcPr>
            <w:tcW w:type="dxa" w:w="9360"/>
            <w:tcBorders>
              <w:top w:val="single" w:color="2E5F9A" w:sz="1"/>
              <w:left w:val="single" w:color="2E5F9A" w:sz="1"/>
              <w:bottom w:val="single" w:color="2E5F9A" w:sz="1"/>
              <w:right w:val="single" w:color="2E5F9A" w:sz="1"/>
            </w:tcBorders>
            <w:shd w:fill="FFFFFF" w:val="clear"/>
            <w:tcMar>
              <w:top w:type="dxa" w:w="80"/>
              <w:left w:type="dxa" w:w="200"/>
              <w:bottom w:type="dxa" w:w="80"/>
              <w:right w:type="dxa" w:w="120"/>
            </w:tcMar>
          </w:tcPr>
          <w:p>
            <w:r>
              <w:rPr>
                <w:rFonts w:ascii="Arial" w:cs="Arial" w:eastAsia="Arial" w:hAnsi="Arial"/>
                <w:b w:val="false"/>
                <w:bCs w:val="false"/>
                <w:color w:val="000000"/>
                <w:sz w:val="20"/>
                <w:szCs w:val="20"/>
              </w:rPr>
              <w:t xml:space="preserve">Step 5 → For settlement completion — verify stock balance updated correctly in Oracle DB</w:t>
            </w:r>
          </w:p>
        </w:tc>
      </w:tr>
    </w:tbl>
    <w:p>
      <w:pPr>
        <w:spacing w:after="0" w:before="120"/>
      </w:pPr>
      <w:r>
        <w:t xml:space="preserve"/>
      </w:r>
    </w:p>
    <w:p>
      <w:pPr>
        <w:pStyle w:val="Heading2"/>
      </w:pPr>
      <w:r>
        <w:rPr>
          <w:rFonts w:ascii="Arial" w:cs="Arial" w:eastAsia="Arial" w:hAnsi="Arial"/>
          <w:b/>
          <w:bCs/>
          <w:color w:val="2E5F9A"/>
          <w:sz w:val="26"/>
          <w:szCs w:val="26"/>
        </w:rPr>
        <w:t xml:space="preserve">6.4  Test Data Management</w:t>
      </w:r>
    </w:p>
    <w:p>
      <w:pPr>
        <w:pStyle w:val="ListParagraph"/>
        <w:numPr>
          <w:ilvl w:val="0"/>
          <w:numId w:val="2"/>
        </w:numPr>
        <w:spacing w:after="40" w:before="40"/>
      </w:pPr>
      <w:r>
        <w:rPr>
          <w:rFonts w:ascii="Arial" w:cs="Arial" w:eastAsia="Arial" w:hAnsi="Arial"/>
          <w:b w:val="false"/>
          <w:bCs w:val="false"/>
          <w:color w:val="000000"/>
          <w:sz w:val="20"/>
          <w:szCs w:val="20"/>
        </w:rPr>
        <w:t xml:space="preserve">Oracle DB scripts: Insert reference data — valid ISINs (e.g., BE0002401736), account codes (e.g., DEUTNL2AXXX), CSD entries for NBBE</w:t>
      </w:r>
    </w:p>
    <w:p>
      <w:pPr>
        <w:pStyle w:val="ListParagraph"/>
        <w:numPr>
          <w:ilvl w:val="0"/>
          <w:numId w:val="2"/>
        </w:numPr>
        <w:spacing w:after="40" w:before="40"/>
      </w:pPr>
      <w:r>
        <w:rPr>
          <w:rFonts w:ascii="Arial" w:cs="Arial" w:eastAsia="Arial" w:hAnsi="Arial"/>
          <w:b w:val="false"/>
          <w:bCs w:val="false"/>
          <w:color w:val="000000"/>
          <w:sz w:val="20"/>
          <w:szCs w:val="20"/>
        </w:rPr>
        <w:t xml:space="preserve">SWIFT message testing: Message templates with variable fields (ISIN, date, nominal) injected via message broker test harness</w:t>
      </w:r>
    </w:p>
    <w:p>
      <w:pPr>
        <w:pStyle w:val="ListParagraph"/>
        <w:numPr>
          <w:ilvl w:val="0"/>
          <w:numId w:val="2"/>
        </w:numPr>
        <w:spacing w:after="40" w:before="40"/>
      </w:pPr>
      <w:r>
        <w:rPr>
          <w:rFonts w:ascii="Arial" w:cs="Arial" w:eastAsia="Arial" w:hAnsi="Arial"/>
          <w:b w:val="false"/>
          <w:bCs w:val="false"/>
          <w:color w:val="000000"/>
          <w:sz w:val="20"/>
          <w:szCs w:val="20"/>
        </w:rPr>
        <w:t xml:space="preserve">Alleged Instructions: Historical NBBE-MT578 reference codes from test environments for realistic scenarios</w:t>
      </w:r>
    </w:p>
    <w:p>
      <w:pPr>
        <w:pStyle w:val="ListParagraph"/>
        <w:numPr>
          <w:ilvl w:val="0"/>
          <w:numId w:val="2"/>
        </w:numPr>
        <w:spacing w:after="40" w:before="40"/>
      </w:pPr>
      <w:r>
        <w:rPr>
          <w:rFonts w:ascii="Arial" w:cs="Arial" w:eastAsia="Arial" w:hAnsi="Arial"/>
          <w:b w:val="false"/>
          <w:bCs w:val="false"/>
          <w:color w:val="000000"/>
          <w:sz w:val="20"/>
          <w:szCs w:val="20"/>
        </w:rPr>
        <w:t xml:space="preserve">Data-Driven testing: Excel-based test data for parameterized test runs via Maven</w:t>
      </w:r>
    </w:p>
    <w:p>
      <w:pPr>
        <w:pStyle w:val="ListParagraph"/>
        <w:numPr>
          <w:ilvl w:val="0"/>
          <w:numId w:val="2"/>
        </w:numPr>
        <w:spacing w:after="40" w:before="40"/>
      </w:pPr>
      <w:r>
        <w:rPr>
          <w:rFonts w:ascii="Arial" w:cs="Arial" w:eastAsia="Arial" w:hAnsi="Arial"/>
          <w:b w:val="false"/>
          <w:bCs w:val="false"/>
          <w:color w:val="000000"/>
          <w:sz w:val="20"/>
          <w:szCs w:val="20"/>
        </w:rPr>
        <w:t xml:space="preserve">T+2 Date calculation: Custom DateGenerator utility to always compute correct settlement dates dynamically</w:t>
      </w:r>
    </w:p>
    <w:p>
      <w:pPr>
        <w:spacing w:after="0" w:before="80"/>
      </w:pPr>
      <w:r>
        <w:t xml:space="preserve"/>
      </w:r>
    </w:p>
    <w:p>
      <w:pPr>
        <w:pStyle w:val="Heading2"/>
      </w:pPr>
      <w:r>
        <w:rPr>
          <w:rFonts w:ascii="Arial" w:cs="Arial" w:eastAsia="Arial" w:hAnsi="Arial"/>
          <w:b/>
          <w:bCs/>
          <w:color w:val="2E5F9A"/>
          <w:sz w:val="26"/>
          <w:szCs w:val="26"/>
        </w:rPr>
        <w:t xml:space="preserve">6.5  Challenges and How They Were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Challenge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it was handled</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SWIFT message simulation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Coordinated with infrastructure teams to simulate MT578 and MT54x messages in test environment via message broker test harness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Complex Oracle DB test data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Instructions have many dependent reference data requirements — ISINs, accounts, CSDs. Used pre-built SQL scripts and collaborated with DBA team</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Legacy Struts/JSP dynamic element IDs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Used robust XPath with contains() and text-based CSS selectors; avoided volatile IDs. Added explicit waits for slow page loads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Slow page loads (legacy 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Implemented retry mechanism in TestNG; used Fluent Waits; checked document.readyState via JavaScriptExecutor</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Domain knowledge ramp-up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Studied SWIFT message standards, DVP/DFP concepts, CSD interactions. Reviewed functional specs and business requirements with BA team</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Distinguishing script vs functional bugs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Implemented detailed logging and screenshot capture on failure. If UI showed 'Validation Failed' with correct input data → functional bug</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Dynamic tables in enquiry screens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 table rows dynamically; iterated through columns; validated values based on user-selected filters; tested pagination for 21+ records</w:t>
            </w:r>
          </w:p>
        </w:tc>
      </w:tr>
    </w:tbl>
    <w:p>
      <w:r>
        <w:br w:type="page"/>
      </w:r>
    </w:p>
    <w:p>
      <w:pPr>
        <w:pStyle w:val="Heading1"/>
      </w:pPr>
      <w:r>
        <w:rPr>
          <w:rFonts w:ascii="Arial" w:cs="Arial" w:eastAsia="Arial" w:hAnsi="Arial"/>
          <w:b/>
          <w:bCs/>
          <w:color w:val="1F3864"/>
          <w:sz w:val="32"/>
          <w:szCs w:val="32"/>
        </w:rPr>
        <w:t xml:space="preserve">7. Interview Q&amp;A — All Questions with Detailed Answers</w:t>
      </w:r>
    </w:p>
    <w:p>
      <w:pPr>
        <w:spacing w:after="60" w:before="60"/>
      </w:pPr>
      <w:r>
        <w:rPr>
          <w:rFonts w:ascii="Arial" w:cs="Arial" w:eastAsia="Arial" w:hAnsi="Arial"/>
          <w:b w:val="false"/>
          <w:bCs w:val="false"/>
          <w:color w:val="000000"/>
          <w:sz w:val="20"/>
          <w:szCs w:val="20"/>
        </w:rPr>
        <w:t xml:space="preserve">Use these answers as a base and personalize with your own delivery. Answers are grouped by category.</w:t>
      </w:r>
    </w:p>
    <w:p>
      <w:pPr>
        <w:pBdr>
          <w:bottom w:val="single" w:color="2E5F9A" w:sz="4" w:space="1"/>
        </w:pBdr>
        <w:spacing w:after="200" w:before="200"/>
      </w:pPr>
      <w:r>
        <w:t xml:space="preserve"/>
      </w:r>
    </w:p>
    <w:p>
      <w:pPr>
        <w:pStyle w:val="Heading2"/>
      </w:pPr>
      <w:r>
        <w:rPr>
          <w:rFonts w:ascii="Arial" w:cs="Arial" w:eastAsia="Arial" w:hAnsi="Arial"/>
          <w:b/>
          <w:bCs/>
          <w:color w:val="2E5F9A"/>
          <w:sz w:val="26"/>
          <w:szCs w:val="26"/>
        </w:rPr>
        <w:t xml:space="preserve">7.1  Project &amp; Application Questions</w:t>
      </w:r>
    </w:p>
    <w:p>
      <w:pPr>
        <w:pBdr>
          <w:bottom w:val="none"/>
        </w:pBdr>
        <w:shd w:fill="D6E4F0" w:val="clear"/>
        <w:spacing w:after="0" w:before="120"/>
        <w:ind w:left="120" w:right="120"/>
      </w:pPr>
      <w:r>
        <w:rPr>
          <w:rFonts w:ascii="Arial" w:cs="Arial" w:eastAsia="Arial" w:hAnsi="Arial"/>
          <w:b/>
          <w:bCs/>
          <w:color w:val="1F3864"/>
          <w:sz w:val="20"/>
          <w:szCs w:val="20"/>
        </w:rPr>
        <w:t xml:space="preserve">Q: Can you describe the project you worked on?</w:t>
      </w:r>
    </w:p>
    <w:p>
      <w:pPr>
        <w:shd w:fill="F2F3F4" w:val="clear"/>
        <w:spacing w:after="160" w:before="0"/>
        <w:ind w:left="120" w:right="120"/>
      </w:pPr>
      <w:r>
        <w:rPr>
          <w:rFonts w:ascii="Arial" w:cs="Arial" w:eastAsia="Arial" w:hAnsi="Arial"/>
          <w:color w:val="000000"/>
          <w:sz w:val="20"/>
          <w:szCs w:val="20"/>
        </w:rPr>
        <w:t xml:space="preserve">A: I worked on DB Sire, Deutsche Bank's internal post-trade settlement administration platform used for Euronext markets. It is a legacy Java-based web application built with Struts, JSP, and Oracle DB as the backend. The application integrates with a message broker that sends and receives SWIFT messages, and communicates with backend Java services through message queues (JMS/IBM MQ). It handles the complete lifecycle of securities settlement instructions — from manual entry and SWIFT-based intake, through error handling, hold/release controls, alleged instruction resolution, stock balance verification, corporate action processing, and task-based workflow management. I was part of the DCSEU team (Deutsche Bank Client Securities EU) contributing to QA Automation for Euronext market operations.</w:t>
      </w:r>
    </w:p>
    <w:p>
      <w:pPr>
        <w:pBdr>
          <w:bottom w:val="none"/>
        </w:pBdr>
        <w:shd w:fill="D6E4F0" w:val="clear"/>
        <w:spacing w:after="0" w:before="120"/>
        <w:ind w:left="120" w:right="120"/>
      </w:pPr>
      <w:r>
        <w:rPr>
          <w:rFonts w:ascii="Arial" w:cs="Arial" w:eastAsia="Arial" w:hAnsi="Arial"/>
          <w:b/>
          <w:bCs/>
          <w:color w:val="1F3864"/>
          <w:sz w:val="20"/>
          <w:szCs w:val="20"/>
        </w:rPr>
        <w:t xml:space="preserve">Q: What type of application is DB Sire and who are its users?</w:t>
      </w:r>
    </w:p>
    <w:p>
      <w:pPr>
        <w:shd w:fill="F2F3F4" w:val="clear"/>
        <w:spacing w:after="160" w:before="0"/>
        <w:ind w:left="120" w:right="120"/>
      </w:pPr>
      <w:r>
        <w:rPr>
          <w:rFonts w:ascii="Arial" w:cs="Arial" w:eastAsia="Arial" w:hAnsi="Arial"/>
          <w:color w:val="000000"/>
          <w:sz w:val="20"/>
          <w:szCs w:val="20"/>
        </w:rPr>
        <w:t xml:space="preserve">A: DB Sire is a legacy corporate banking application built using Java, Struts, and JSP. It is used internally by back-office operations teams — specifically settlement operations teams, corporate action processing teams, and securities back-office users. It is NOT client-facing. Users interact with it to resolve failed trades, manage corporate actions, and track stock balances.</w:t>
      </w:r>
    </w:p>
    <w:p>
      <w:pPr>
        <w:pBdr>
          <w:bottom w:val="none"/>
        </w:pBdr>
        <w:shd w:fill="D6E4F0" w:val="clear"/>
        <w:spacing w:after="0" w:before="120"/>
        <w:ind w:left="120" w:right="120"/>
      </w:pPr>
      <w:r>
        <w:rPr>
          <w:rFonts w:ascii="Arial" w:cs="Arial" w:eastAsia="Arial" w:hAnsi="Arial"/>
          <w:b/>
          <w:bCs/>
          <w:color w:val="1F3864"/>
          <w:sz w:val="20"/>
          <w:szCs w:val="20"/>
        </w:rPr>
        <w:t xml:space="preserve">Q: How does DB Sire fit into the settlement process?</w:t>
      </w:r>
    </w:p>
    <w:p>
      <w:pPr>
        <w:shd w:fill="F2F3F4" w:val="clear"/>
        <w:spacing w:after="160" w:before="0"/>
        <w:ind w:left="120" w:right="120"/>
      </w:pPr>
      <w:r>
        <w:rPr>
          <w:rFonts w:ascii="Arial" w:cs="Arial" w:eastAsia="Arial" w:hAnsi="Arial"/>
          <w:color w:val="000000"/>
          <w:sz w:val="20"/>
          <w:szCs w:val="20"/>
        </w:rPr>
        <w:t xml:space="preserve">A: DB Sire acts as an operational interface and control/correction layer for failed or exceptional trades. It does NOT execute settlements directly. It sits in front of the core settlement engine — when an instruction fails, it routes to DB Sire where operations teams can correct and reprocess it. The core settlement engine is the backend system that actually moves securities and cash once everything is validated.</w:t>
      </w:r>
    </w:p>
    <w:p>
      <w:pPr>
        <w:pBdr>
          <w:bottom w:val="none"/>
        </w:pBdr>
        <w:shd w:fill="D6E4F0" w:val="clear"/>
        <w:spacing w:after="0" w:before="120"/>
        <w:ind w:left="120" w:right="120"/>
      </w:pPr>
      <w:r>
        <w:rPr>
          <w:rFonts w:ascii="Arial" w:cs="Arial" w:eastAsia="Arial" w:hAnsi="Arial"/>
          <w:b/>
          <w:bCs/>
          <w:color w:val="1F3864"/>
          <w:sz w:val="20"/>
          <w:szCs w:val="20"/>
        </w:rPr>
        <w:t xml:space="preserve">Q: How does the application integrate with other systems?</w:t>
      </w:r>
    </w:p>
    <w:p>
      <w:pPr>
        <w:shd w:fill="F2F3F4" w:val="clear"/>
        <w:spacing w:after="160" w:before="0"/>
        <w:ind w:left="120" w:right="120"/>
      </w:pPr>
      <w:r>
        <w:rPr>
          <w:rFonts w:ascii="Arial" w:cs="Arial" w:eastAsia="Arial" w:hAnsi="Arial"/>
          <w:color w:val="000000"/>
          <w:sz w:val="20"/>
          <w:szCs w:val="20"/>
        </w:rPr>
        <w:t xml:space="preserve">A: DB Sire integrates through two main channels. First, a Message Broker receives inbound SWIFT messages (like MT578 allegements and MT54x settlement instructions) from Euronext CSDs and counterparties and delivers them into DB Sire for processing. Second, backend Java services communicate through message queues (JMS/IBM MQ), enabling asynchronous processing — for example, when an instruction is submitted, a queue message triggers the Java settlement service to process it and update Oracle DB, then sends a status update back.</w:t>
      </w:r>
    </w:p>
    <w:p>
      <w:pPr>
        <w:pBdr>
          <w:bottom w:val="none"/>
        </w:pBdr>
        <w:shd w:fill="D6E4F0" w:val="clear"/>
        <w:spacing w:after="0" w:before="120"/>
        <w:ind w:left="120" w:right="120"/>
      </w:pPr>
      <w:r>
        <w:rPr>
          <w:rFonts w:ascii="Arial" w:cs="Arial" w:eastAsia="Arial" w:hAnsi="Arial"/>
          <w:b/>
          <w:bCs/>
          <w:color w:val="1F3864"/>
          <w:sz w:val="20"/>
          <w:szCs w:val="20"/>
        </w:rPr>
        <w:t xml:space="preserve">Q: What happens when a trade fails settlement?</w:t>
      </w:r>
    </w:p>
    <w:p>
      <w:pPr>
        <w:shd w:fill="F2F3F4" w:val="clear"/>
        <w:spacing w:after="160" w:before="0"/>
        <w:ind w:left="120" w:right="120"/>
      </w:pPr>
      <w:r>
        <w:rPr>
          <w:rFonts w:ascii="Arial" w:cs="Arial" w:eastAsia="Arial" w:hAnsi="Arial"/>
          <w:color w:val="000000"/>
          <w:sz w:val="20"/>
          <w:szCs w:val="20"/>
        </w:rPr>
        <w:t xml:space="preserve">A: The trade moves to a relevant Error Queue. Users analyse the reason (invalid ISIN, missing fields, date mismatch, insufficient balance), modify the incorrect fields, validate the instruction, and reprocess it so settlement can complete. DB Sire is specifically designed to manage this recovery process.</w:t>
      </w:r>
    </w:p>
    <w:p>
      <w:pPr>
        <w:pBdr>
          <w:bottom w:val="single" w:color="2E5F9A" w:sz="4" w:space="1"/>
        </w:pBdr>
        <w:spacing w:after="200" w:before="200"/>
      </w:pPr>
      <w:r>
        <w:t xml:space="preserve"/>
      </w:r>
    </w:p>
    <w:p>
      <w:pPr>
        <w:pStyle w:val="Heading2"/>
      </w:pPr>
      <w:r>
        <w:rPr>
          <w:rFonts w:ascii="Arial" w:cs="Arial" w:eastAsia="Arial" w:hAnsi="Arial"/>
          <w:b/>
          <w:bCs/>
          <w:color w:val="2E5F9A"/>
          <w:sz w:val="26"/>
          <w:szCs w:val="26"/>
        </w:rPr>
        <w:t xml:space="preserve">7.2  Module-Specific Questions</w:t>
      </w:r>
    </w:p>
    <w:p>
      <w:pPr>
        <w:pBdr>
          <w:bottom w:val="none"/>
        </w:pBdr>
        <w:shd w:fill="D6E4F0" w:val="clear"/>
        <w:spacing w:after="0" w:before="120"/>
        <w:ind w:left="120" w:right="120"/>
      </w:pPr>
      <w:r>
        <w:rPr>
          <w:rFonts w:ascii="Arial" w:cs="Arial" w:eastAsia="Arial" w:hAnsi="Arial"/>
          <w:b/>
          <w:bCs/>
          <w:color w:val="1F3864"/>
          <w:sz w:val="20"/>
          <w:szCs w:val="20"/>
        </w:rPr>
        <w:t xml:space="preserve">Q: What is an alleged instruction and how did you test it?</w:t>
      </w:r>
    </w:p>
    <w:p>
      <w:pPr>
        <w:shd w:fill="F2F3F4" w:val="clear"/>
        <w:spacing w:after="160" w:before="0"/>
        <w:ind w:left="120" w:right="120"/>
      </w:pPr>
      <w:r>
        <w:rPr>
          <w:rFonts w:ascii="Arial" w:cs="Arial" w:eastAsia="Arial" w:hAnsi="Arial"/>
          <w:color w:val="000000"/>
          <w:sz w:val="20"/>
          <w:szCs w:val="20"/>
        </w:rPr>
        <w:t xml:space="preserve">A: An alleged instruction is an MT578 SWIFT message received from a counterparty or CSD indicating they expect a settlement to occur, but there is no matching instruction on Deutsche Bank's side. It means a counterparty is 'alleging' that a trade exists that DB should settle. For testing, I verified that unmatched SWIFT messages correctly appeared in the Alleged Instructions enquiry module, that all filter combinations worked correctly (by CSD, ISIN, date range, message type, matching rate), that pagination displayed accurately when 21+ records were returned, and that Matching Rate = 0 correctly indicated no match found.</w:t>
      </w:r>
    </w:p>
    <w:p>
      <w:pPr>
        <w:pBdr>
          <w:bottom w:val="none"/>
        </w:pBdr>
        <w:shd w:fill="D6E4F0" w:val="clear"/>
        <w:spacing w:after="0" w:before="120"/>
        <w:ind w:left="120" w:right="120"/>
      </w:pPr>
      <w:r>
        <w:rPr>
          <w:rFonts w:ascii="Arial" w:cs="Arial" w:eastAsia="Arial" w:hAnsi="Arial"/>
          <w:b/>
          <w:bCs/>
          <w:color w:val="1F3864"/>
          <w:sz w:val="20"/>
          <w:szCs w:val="20"/>
        </w:rPr>
        <w:t xml:space="preserve">Q: Explain the Settlements Error Queue workflow</w:t>
      </w:r>
    </w:p>
    <w:p>
      <w:pPr>
        <w:shd w:fill="F2F3F4" w:val="clear"/>
        <w:spacing w:after="160" w:before="0"/>
        <w:ind w:left="120" w:right="120"/>
      </w:pPr>
      <w:r>
        <w:rPr>
          <w:rFonts w:ascii="Arial" w:cs="Arial" w:eastAsia="Arial" w:hAnsi="Arial"/>
          <w:color w:val="000000"/>
          <w:sz w:val="20"/>
          <w:szCs w:val="20"/>
        </w:rPr>
        <w:t xml:space="preserve">A: When a settlement instruction fails, it appears in the Error Queue. Users filter based on criteria like ISIN, trade date, or status, inspect error details, modify the incorrect fields, validate the instruction, and reprocess it for settlement. I automated each of these actions using Selenium+Cucumber — verifying the complete modify→validate→resubmit flow and confirming Oracle DB was updated correctly post-reprocessing.</w:t>
      </w:r>
    </w:p>
    <w:p>
      <w:pPr>
        <w:pBdr>
          <w:bottom w:val="none"/>
        </w:pBdr>
        <w:shd w:fill="D6E4F0" w:val="clear"/>
        <w:spacing w:after="0" w:before="120"/>
        <w:ind w:left="120" w:right="120"/>
      </w:pPr>
      <w:r>
        <w:rPr>
          <w:rFonts w:ascii="Arial" w:cs="Arial" w:eastAsia="Arial" w:hAnsi="Arial"/>
          <w:b/>
          <w:bCs/>
          <w:color w:val="1F3864"/>
          <w:sz w:val="20"/>
          <w:szCs w:val="20"/>
        </w:rPr>
        <w:t xml:space="preserve">Q: What is Manual Hold &amp; Release and why is it high-risk?</w:t>
      </w:r>
    </w:p>
    <w:p>
      <w:pPr>
        <w:shd w:fill="F2F3F4" w:val="clear"/>
        <w:spacing w:after="160" w:before="0"/>
        <w:ind w:left="120" w:right="120"/>
      </w:pPr>
      <w:r>
        <w:rPr>
          <w:rFonts w:ascii="Arial" w:cs="Arial" w:eastAsia="Arial" w:hAnsi="Arial"/>
          <w:color w:val="000000"/>
          <w:sz w:val="20"/>
          <w:szCs w:val="20"/>
        </w:rPr>
        <w:t xml:space="preserve">A: Manual Hold &amp; Release is used to intentionally pause a settlement instruction due to compliance, risk, funding, or dispute reasons. It is high-risk because it involves human intervention in the STP (Straight-Through Processing) pipeline — and a held instruction MUST NEVER settle. I found a P1 defect where a concurrent background process bypassed the hold status and allowed an instruction to proceed to settlement. I documented it with reproduction steps, Oracle SQL showing the incorrect status update, and expected vs actual behaviour.</w:t>
      </w:r>
    </w:p>
    <w:p>
      <w:pPr>
        <w:pBdr>
          <w:bottom w:val="none"/>
        </w:pBdr>
        <w:shd w:fill="D6E4F0" w:val="clear"/>
        <w:spacing w:after="0" w:before="120"/>
        <w:ind w:left="120" w:right="120"/>
      </w:pPr>
      <w:r>
        <w:rPr>
          <w:rFonts w:ascii="Arial" w:cs="Arial" w:eastAsia="Arial" w:hAnsi="Arial"/>
          <w:b/>
          <w:bCs/>
          <w:color w:val="1F3864"/>
          <w:sz w:val="20"/>
          <w:szCs w:val="20"/>
        </w:rPr>
        <w:t xml:space="preserve">Q: What is Manual Entry and when is it used?</w:t>
      </w:r>
    </w:p>
    <w:p>
      <w:pPr>
        <w:shd w:fill="F2F3F4" w:val="clear"/>
        <w:spacing w:after="160" w:before="0"/>
        <w:ind w:left="120" w:right="120"/>
      </w:pPr>
      <w:r>
        <w:rPr>
          <w:rFonts w:ascii="Arial" w:cs="Arial" w:eastAsia="Arial" w:hAnsi="Arial"/>
          <w:color w:val="000000"/>
          <w:sz w:val="20"/>
          <w:szCs w:val="20"/>
        </w:rPr>
        <w:t xml:space="preserve">A: Manual Entry is used when settlement instructions are not received automatically via SWIFT — for example, when automated flow fails, for emergency corrections, or when counterparty instructions need to be keyed manually. Users capture all instruction details, the system validates mandatory fields, and the instruction enters the settlement pipeline. I tested field-level validations, date boundaries, and duplicate detection scenarios.</w:t>
      </w:r>
    </w:p>
    <w:p>
      <w:pPr>
        <w:pBdr>
          <w:bottom w:val="none"/>
        </w:pBdr>
        <w:shd w:fill="D6E4F0" w:val="clear"/>
        <w:spacing w:after="0" w:before="120"/>
        <w:ind w:left="120" w:right="120"/>
      </w:pPr>
      <w:r>
        <w:rPr>
          <w:rFonts w:ascii="Arial" w:cs="Arial" w:eastAsia="Arial" w:hAnsi="Arial"/>
          <w:b/>
          <w:bCs/>
          <w:color w:val="1F3864"/>
          <w:sz w:val="20"/>
          <w:szCs w:val="20"/>
        </w:rPr>
        <w:t xml:space="preserve">Q: What is the difference between Error Queue and Enquiry screens?</w:t>
      </w:r>
    </w:p>
    <w:p>
      <w:pPr>
        <w:shd w:fill="F2F3F4" w:val="clear"/>
        <w:spacing w:after="160" w:before="0"/>
        <w:ind w:left="120" w:right="120"/>
      </w:pPr>
      <w:r>
        <w:rPr>
          <w:rFonts w:ascii="Arial" w:cs="Arial" w:eastAsia="Arial" w:hAnsi="Arial"/>
          <w:color w:val="000000"/>
          <w:sz w:val="20"/>
          <w:szCs w:val="20"/>
        </w:rPr>
        <w:t xml:space="preserve">A: Error Queue is action-oriented — it allows users to modify, validate, and reprocess failed instructions. Enquiry screens are read-only — used for data inquiry, tracking, and investigation. You cannot modify an instruction from an enquiry screen.</w:t>
      </w:r>
    </w:p>
    <w:p>
      <w:pPr>
        <w:pBdr>
          <w:bottom w:val="none"/>
        </w:pBdr>
        <w:shd w:fill="D6E4F0" w:val="clear"/>
        <w:spacing w:after="0" w:before="120"/>
        <w:ind w:left="120" w:right="120"/>
      </w:pPr>
      <w:r>
        <w:rPr>
          <w:rFonts w:ascii="Arial" w:cs="Arial" w:eastAsia="Arial" w:hAnsi="Arial"/>
          <w:b/>
          <w:bCs/>
          <w:color w:val="1F3864"/>
          <w:sz w:val="20"/>
          <w:szCs w:val="20"/>
        </w:rPr>
        <w:t xml:space="preserve">Q: Which module was hardest to automate and why?</w:t>
      </w:r>
    </w:p>
    <w:p>
      <w:pPr>
        <w:shd w:fill="F2F3F4" w:val="clear"/>
        <w:spacing w:after="160" w:before="0"/>
        <w:ind w:left="120" w:right="120"/>
      </w:pPr>
      <w:r>
        <w:rPr>
          <w:rFonts w:ascii="Arial" w:cs="Arial" w:eastAsia="Arial" w:hAnsi="Arial"/>
          <w:color w:val="000000"/>
          <w:sz w:val="20"/>
          <w:szCs w:val="20"/>
        </w:rPr>
        <w:t xml:space="preserve">A: The Settlement and Corporate Action Error Queues were the most challenging because of dynamic tables with variable row counts, multi-step validation flows (modify→validate→resubmit), and frequent UI changes due to the legacy Struts/JSP framework generating inconsistent element attributes. I handled this using relative XPath with contains() and text-based locators, dynamic table row iteration, and explicit waits.</w:t>
      </w:r>
    </w:p>
    <w:p>
      <w:pPr>
        <w:pBdr>
          <w:bottom w:val="single" w:color="2E5F9A" w:sz="4" w:space="1"/>
        </w:pBdr>
        <w:spacing w:after="200" w:before="200"/>
      </w:pPr>
      <w:r>
        <w:t xml:space="preserve"/>
      </w:r>
    </w:p>
    <w:p>
      <w:pPr>
        <w:pStyle w:val="Heading2"/>
      </w:pPr>
      <w:r>
        <w:rPr>
          <w:rFonts w:ascii="Arial" w:cs="Arial" w:eastAsia="Arial" w:hAnsi="Arial"/>
          <w:b/>
          <w:bCs/>
          <w:color w:val="2E5F9A"/>
          <w:sz w:val="26"/>
          <w:szCs w:val="26"/>
        </w:rPr>
        <w:t xml:space="preserve">7.3  Domain &amp; Banking Questions</w:t>
      </w:r>
    </w:p>
    <w:p>
      <w:pPr>
        <w:pBdr>
          <w:bottom w:val="none"/>
        </w:pBdr>
        <w:shd w:fill="D6E4F0" w:val="clear"/>
        <w:spacing w:after="0" w:before="120"/>
        <w:ind w:left="120" w:right="120"/>
      </w:pPr>
      <w:r>
        <w:rPr>
          <w:rFonts w:ascii="Arial" w:cs="Arial" w:eastAsia="Arial" w:hAnsi="Arial"/>
          <w:b/>
          <w:bCs/>
          <w:color w:val="1F3864"/>
          <w:sz w:val="20"/>
          <w:szCs w:val="20"/>
        </w:rPr>
        <w:t xml:space="preserve">Q: What is trade settlement?</w:t>
      </w:r>
    </w:p>
    <w:p>
      <w:pPr>
        <w:shd w:fill="F2F3F4" w:val="clear"/>
        <w:spacing w:after="160" w:before="0"/>
        <w:ind w:left="120" w:right="120"/>
      </w:pPr>
      <w:r>
        <w:rPr>
          <w:rFonts w:ascii="Arial" w:cs="Arial" w:eastAsia="Arial" w:hAnsi="Arial"/>
          <w:color w:val="000000"/>
          <w:sz w:val="20"/>
          <w:szCs w:val="20"/>
        </w:rPr>
        <w:t xml:space="preserve">A: Settlement is the final process where securities are exchanged for cash between buyer and seller after a trade is executed. It typically occurs T+2 (2 business days after trade date) for Euronext markets. If any validation fails or data is incorrect, the trade remains unsettled and appears in an Error Queue for manual intervention.</w:t>
      </w:r>
    </w:p>
    <w:p>
      <w:pPr>
        <w:pBdr>
          <w:bottom w:val="none"/>
        </w:pBdr>
        <w:shd w:fill="D6E4F0" w:val="clear"/>
        <w:spacing w:after="0" w:before="120"/>
        <w:ind w:left="120" w:right="120"/>
      </w:pPr>
      <w:r>
        <w:rPr>
          <w:rFonts w:ascii="Arial" w:cs="Arial" w:eastAsia="Arial" w:hAnsi="Arial"/>
          <w:b/>
          <w:bCs/>
          <w:color w:val="1F3864"/>
          <w:sz w:val="20"/>
          <w:szCs w:val="20"/>
        </w:rPr>
        <w:t xml:space="preserve">Q: What is DVP vs DFP and how does it affect testing?</w:t>
      </w:r>
    </w:p>
    <w:p>
      <w:pPr>
        <w:shd w:fill="F2F3F4" w:val="clear"/>
        <w:spacing w:after="160" w:before="0"/>
        <w:ind w:left="120" w:right="120"/>
      </w:pPr>
      <w:r>
        <w:rPr>
          <w:rFonts w:ascii="Arial" w:cs="Arial" w:eastAsia="Arial" w:hAnsi="Arial"/>
          <w:color w:val="000000"/>
          <w:sz w:val="20"/>
          <w:szCs w:val="20"/>
        </w:rPr>
        <w:t xml:space="preserve">A: DVP (Delivery vs Payment) means securities and cash move simultaneously — reducing settlement risk because neither party gives up their asset without receiving the other. DFP (Delivery Free of Payment) means securities move without a corresponding cash movement — used for internal transfers, collateral, or corporate action entitlements. Testing implications: DVP instructions require both securities AND cash validation, while DFP only requires securities balance checks. In DB Sire, the Payment Indicator field distinguishes these — FREE = DFP, otherwise DVP.</w:t>
      </w:r>
    </w:p>
    <w:p>
      <w:pPr>
        <w:pBdr>
          <w:bottom w:val="none"/>
        </w:pBdr>
        <w:shd w:fill="D6E4F0" w:val="clear"/>
        <w:spacing w:after="0" w:before="120"/>
        <w:ind w:left="120" w:right="120"/>
      </w:pPr>
      <w:r>
        <w:rPr>
          <w:rFonts w:ascii="Arial" w:cs="Arial" w:eastAsia="Arial" w:hAnsi="Arial"/>
          <w:b/>
          <w:bCs/>
          <w:color w:val="1F3864"/>
          <w:sz w:val="20"/>
          <w:szCs w:val="20"/>
        </w:rPr>
        <w:t xml:space="preserve">Q: What is a CSD and what role does NBBE play?</w:t>
      </w:r>
    </w:p>
    <w:p>
      <w:pPr>
        <w:shd w:fill="F2F3F4" w:val="clear"/>
        <w:spacing w:after="160" w:before="0"/>
        <w:ind w:left="120" w:right="120"/>
      </w:pPr>
      <w:r>
        <w:rPr>
          <w:rFonts w:ascii="Arial" w:cs="Arial" w:eastAsia="Arial" w:hAnsi="Arial"/>
          <w:color w:val="000000"/>
          <w:sz w:val="20"/>
          <w:szCs w:val="20"/>
        </w:rPr>
        <w:t xml:space="preserve">A: A Central Securities Depository (CSD) holds securities in electronic form and enables settlement by book-entry — transferring ownership without physical certificates. NBBE (NBB-Euroclear Belgium, BIC: NBBEBEBB216) is the CSD for Belgian securities on Euronext Brussels. In DB Sire, all settlement instructions specify a Place of Settlement that maps to a CSD's BIC code. When NBBE sends an MT578 allegement, it means they have a counterparty instruction recorded and expect Deutsche Bank to have a matching instruction.</w:t>
      </w:r>
    </w:p>
    <w:p>
      <w:pPr>
        <w:pBdr>
          <w:bottom w:val="none"/>
        </w:pBdr>
        <w:shd w:fill="D6E4F0" w:val="clear"/>
        <w:spacing w:after="0" w:before="120"/>
        <w:ind w:left="120" w:right="120"/>
      </w:pPr>
      <w:r>
        <w:rPr>
          <w:rFonts w:ascii="Arial" w:cs="Arial" w:eastAsia="Arial" w:hAnsi="Arial"/>
          <w:b/>
          <w:bCs/>
          <w:color w:val="1F3864"/>
          <w:sz w:val="20"/>
          <w:szCs w:val="20"/>
        </w:rPr>
        <w:t xml:space="preserve">Q: What are Corporate Actions and what causes errors in them?</w:t>
      </w:r>
    </w:p>
    <w:p>
      <w:pPr>
        <w:shd w:fill="F2F3F4" w:val="clear"/>
        <w:spacing w:after="160" w:before="0"/>
        <w:ind w:left="120" w:right="120"/>
      </w:pPr>
      <w:r>
        <w:rPr>
          <w:rFonts w:ascii="Arial" w:cs="Arial" w:eastAsia="Arial" w:hAnsi="Arial"/>
          <w:color w:val="000000"/>
          <w:sz w:val="20"/>
          <w:szCs w:val="20"/>
        </w:rPr>
        <w:t xml:space="preserve">A: Corporate Actions are events that affect the value or structure of securities — examples include dividends, stock splits, bond redemptions, rights issues, and mergers. In DB Sire, corporate action errors occur due to: incorrect ex-date or record date, wrong entitlement calculations, missing election instructions for voluntary CAs, account mapping failures in Oracle DB, or ISIN transformation errors after stock splits (old ISIN → new ISIN). These errors land in the CA Error Queue where the same Modify→Validate→Reprocess flow applies.</w:t>
      </w:r>
    </w:p>
    <w:p>
      <w:pPr>
        <w:pBdr>
          <w:bottom w:val="none"/>
        </w:pBdr>
        <w:shd w:fill="D6E4F0" w:val="clear"/>
        <w:spacing w:after="0" w:before="120"/>
        <w:ind w:left="120" w:right="120"/>
      </w:pPr>
      <w:r>
        <w:rPr>
          <w:rFonts w:ascii="Arial" w:cs="Arial" w:eastAsia="Arial" w:hAnsi="Arial"/>
          <w:b/>
          <w:bCs/>
          <w:color w:val="1F3864"/>
          <w:sz w:val="20"/>
          <w:szCs w:val="20"/>
        </w:rPr>
        <w:t xml:space="preserve">Q: What SWIFT messages were most relevant to your project?</w:t>
      </w:r>
    </w:p>
    <w:p>
      <w:pPr>
        <w:shd w:fill="F2F3F4" w:val="clear"/>
        <w:spacing w:after="160" w:before="0"/>
        <w:ind w:left="120" w:right="120"/>
      </w:pPr>
      <w:r>
        <w:rPr>
          <w:rFonts w:ascii="Arial" w:cs="Arial" w:eastAsia="Arial" w:hAnsi="Arial"/>
          <w:color w:val="000000"/>
          <w:sz w:val="20"/>
          <w:szCs w:val="20"/>
        </w:rPr>
        <w:t xml:space="preserve">A: The most critical message was MT578 — Settlement Allegement — which was the core of the Alleged Instructions module. For settlement instructions, MT540-MT543 handled receive/deliver free and against payment. MT548 handled status updates including errors and holds. MT530 was used for transaction commands like placing holds. For stock positions, MT535-MT537 handled balance and transaction statements. For corporate actions, MT564-MT567 managed the notification, instruction, confirmation, and status cycle.</w:t>
      </w:r>
    </w:p>
    <w:p>
      <w:pPr>
        <w:pBdr>
          <w:bottom w:val="none"/>
        </w:pBdr>
        <w:shd w:fill="D6E4F0" w:val="clear"/>
        <w:spacing w:after="0" w:before="120"/>
        <w:ind w:left="120" w:right="120"/>
      </w:pPr>
      <w:r>
        <w:rPr>
          <w:rFonts w:ascii="Arial" w:cs="Arial" w:eastAsia="Arial" w:hAnsi="Arial"/>
          <w:b/>
          <w:bCs/>
          <w:color w:val="1F3864"/>
          <w:sz w:val="20"/>
          <w:szCs w:val="20"/>
        </w:rPr>
        <w:t xml:space="preserve">Q: What database was used and what kind of DB testing did you do?</w:t>
      </w:r>
    </w:p>
    <w:p>
      <w:pPr>
        <w:shd w:fill="F2F3F4" w:val="clear"/>
        <w:spacing w:after="160" w:before="0"/>
        <w:ind w:left="120" w:right="120"/>
      </w:pPr>
      <w:r>
        <w:rPr>
          <w:rFonts w:ascii="Arial" w:cs="Arial" w:eastAsia="Arial" w:hAnsi="Arial"/>
          <w:color w:val="000000"/>
          <w:sz w:val="20"/>
          <w:szCs w:val="20"/>
        </w:rPr>
        <w:t xml:space="preserve">A: DB Sire used Oracle Database as the backend. My DB testing involved: verifying that settlement instructions were correctly inserted into Oracle after manual entry; checking that error queue entries were created accurately when validations failed; confirming that stock balance tables updated correctly after settlements; validating that audit trail records were written for all modifications with correct timestamps; and ensuring alleged instruction data matched what was displayed on the UI. I wrote SQL queries to directly verify backend data integrity.</w:t>
      </w:r>
    </w:p>
    <w:p>
      <w:pPr>
        <w:pBdr>
          <w:bottom w:val="single" w:color="2E5F9A" w:sz="4" w:space="1"/>
        </w:pBdr>
        <w:spacing w:after="200" w:before="200"/>
      </w:pPr>
      <w:r>
        <w:t xml:space="preserve"/>
      </w:r>
    </w:p>
    <w:p>
      <w:pPr>
        <w:pStyle w:val="Heading2"/>
      </w:pPr>
      <w:r>
        <w:rPr>
          <w:rFonts w:ascii="Arial" w:cs="Arial" w:eastAsia="Arial" w:hAnsi="Arial"/>
          <w:b/>
          <w:bCs/>
          <w:color w:val="2E5F9A"/>
          <w:sz w:val="26"/>
          <w:szCs w:val="26"/>
        </w:rPr>
        <w:t xml:space="preserve">7.4  Automation &amp; Technical Questions</w:t>
      </w:r>
    </w:p>
    <w:p>
      <w:pPr>
        <w:pBdr>
          <w:bottom w:val="none"/>
        </w:pBdr>
        <w:shd w:fill="D6E4F0" w:val="clear"/>
        <w:spacing w:after="0" w:before="120"/>
        <w:ind w:left="120" w:right="120"/>
      </w:pPr>
      <w:r>
        <w:rPr>
          <w:rFonts w:ascii="Arial" w:cs="Arial" w:eastAsia="Arial" w:hAnsi="Arial"/>
          <w:b/>
          <w:bCs/>
          <w:color w:val="1F3864"/>
          <w:sz w:val="20"/>
          <w:szCs w:val="20"/>
        </w:rPr>
        <w:t xml:space="preserve">Q: Why Selenium WebDriver for this project?</w:t>
      </w:r>
    </w:p>
    <w:p>
      <w:pPr>
        <w:shd w:fill="F2F3F4" w:val="clear"/>
        <w:spacing w:after="160" w:before="0"/>
        <w:ind w:left="120" w:right="120"/>
      </w:pPr>
      <w:r>
        <w:rPr>
          <w:rFonts w:ascii="Arial" w:cs="Arial" w:eastAsia="Arial" w:hAnsi="Arial"/>
          <w:color w:val="000000"/>
          <w:sz w:val="20"/>
          <w:szCs w:val="20"/>
        </w:rPr>
        <w:t xml:space="preserve">A: The application is web-based (JSP/HTML frontend) and Selenium supports cross-browser testing with Java, which matched the project's tech stack. Selenium gave us the flexibility to handle dynamic tables, multi-step workflows, and the legacy Struts/JSP UI elements effectively.</w:t>
      </w:r>
    </w:p>
    <w:p>
      <w:pPr>
        <w:pBdr>
          <w:bottom w:val="none"/>
        </w:pBdr>
        <w:shd w:fill="D6E4F0" w:val="clear"/>
        <w:spacing w:after="0" w:before="120"/>
        <w:ind w:left="120" w:right="120"/>
      </w:pPr>
      <w:r>
        <w:rPr>
          <w:rFonts w:ascii="Arial" w:cs="Arial" w:eastAsia="Arial" w:hAnsi="Arial"/>
          <w:b/>
          <w:bCs/>
          <w:color w:val="1F3864"/>
          <w:sz w:val="20"/>
          <w:szCs w:val="20"/>
        </w:rPr>
        <w:t xml:space="preserve">Q: How did you handle dynamic elements in Struts/JSP applications?</w:t>
      </w:r>
    </w:p>
    <w:p>
      <w:pPr>
        <w:shd w:fill="F2F3F4" w:val="clear"/>
        <w:spacing w:after="160" w:before="0"/>
        <w:ind w:left="120" w:right="120"/>
      </w:pPr>
      <w:r>
        <w:rPr>
          <w:rFonts w:ascii="Arial" w:cs="Arial" w:eastAsia="Arial" w:hAnsi="Arial"/>
          <w:color w:val="000000"/>
          <w:sz w:val="20"/>
          <w:szCs w:val="20"/>
        </w:rPr>
        <w:t xml:space="preserve">A: Struts/JSP apps often generate dynamic or unstable IDs. I avoided these volatile attributes and instead used robust locators: Relative XPath with contains() for partial text matches, following-sibling for table cell navigation, CSS Selectors based on stable text labels, and attribute-based selectors on fields that had consistent naming. I also used explicit waits (WebDriverWait + ExpectedConditions) to handle elements that appeared after processing.</w:t>
      </w:r>
    </w:p>
    <w:p>
      <w:pPr>
        <w:pBdr>
          <w:bottom w:val="none"/>
        </w:pBdr>
        <w:shd w:fill="D6E4F0" w:val="clear"/>
        <w:spacing w:after="0" w:before="120"/>
        <w:ind w:left="120" w:right="120"/>
      </w:pPr>
      <w:r>
        <w:rPr>
          <w:rFonts w:ascii="Arial" w:cs="Arial" w:eastAsia="Arial" w:hAnsi="Arial"/>
          <w:b/>
          <w:bCs/>
          <w:color w:val="1F3864"/>
          <w:sz w:val="20"/>
          <w:szCs w:val="20"/>
        </w:rPr>
        <w:t xml:space="preserve">Q: How did you structure your Page Object Model for so many modules?</w:t>
      </w:r>
    </w:p>
    <w:p>
      <w:pPr>
        <w:shd w:fill="F2F3F4" w:val="clear"/>
        <w:spacing w:after="160" w:before="0"/>
        <w:ind w:left="120" w:right="120"/>
      </w:pPr>
      <w:r>
        <w:rPr>
          <w:rFonts w:ascii="Arial" w:cs="Arial" w:eastAsia="Arial" w:hAnsi="Arial"/>
          <w:color w:val="000000"/>
          <w:sz w:val="20"/>
          <w:szCs w:val="20"/>
        </w:rPr>
        <w:t xml:space="preserve">A: I used a Modular POM structure. Each major module (e.g., SettlementsErrorQueuePage, AllegedInstructionsPage, CorporateActionsPage) had its own Page Class containing all UI element locators and interaction methods. Common elements like the global filter bar, navigation sidebar, and session header were kept in a BasePage class. Test classes then consumed these page classes, keeping test logic completely separate from UI interaction logic — improving maintainability and reducing code duplication.</w:t>
      </w:r>
    </w:p>
    <w:p>
      <w:pPr>
        <w:pBdr>
          <w:bottom w:val="none"/>
        </w:pBdr>
        <w:shd w:fill="D6E4F0" w:val="clear"/>
        <w:spacing w:after="0" w:before="120"/>
        <w:ind w:left="120" w:right="120"/>
      </w:pPr>
      <w:r>
        <w:rPr>
          <w:rFonts w:ascii="Arial" w:cs="Arial" w:eastAsia="Arial" w:hAnsi="Arial"/>
          <w:b/>
          <w:bCs/>
          <w:color w:val="1F3864"/>
          <w:sz w:val="20"/>
          <w:szCs w:val="20"/>
        </w:rPr>
        <w:t xml:space="preserve">Q: Why Cucumber BDD for this project?</w:t>
      </w:r>
    </w:p>
    <w:p>
      <w:pPr>
        <w:shd w:fill="F2F3F4" w:val="clear"/>
        <w:spacing w:after="160" w:before="0"/>
        <w:ind w:left="120" w:right="120"/>
      </w:pPr>
      <w:r>
        <w:rPr>
          <w:rFonts w:ascii="Arial" w:cs="Arial" w:eastAsia="Arial" w:hAnsi="Arial"/>
          <w:color w:val="000000"/>
          <w:sz w:val="20"/>
          <w:szCs w:val="20"/>
        </w:rPr>
        <w:t xml:space="preserve">A: We chose Cucumber to align testing with business language and improve collaboration between the QA team and Business Analysts. BAs reviewed the Gherkin Feature Files to confirm that complex settlement scenarios — like alleged instruction resolution flows and corporate action reprocessing — were accurately captured. This reduced the gap between requirements and test implementation.</w:t>
      </w:r>
    </w:p>
    <w:p>
      <w:pPr>
        <w:pBdr>
          <w:bottom w:val="none"/>
        </w:pBdr>
        <w:shd w:fill="D6E4F0" w:val="clear"/>
        <w:spacing w:after="0" w:before="120"/>
        <w:ind w:left="120" w:right="120"/>
      </w:pPr>
      <w:r>
        <w:rPr>
          <w:rFonts w:ascii="Arial" w:cs="Arial" w:eastAsia="Arial" w:hAnsi="Arial"/>
          <w:b/>
          <w:bCs/>
          <w:color w:val="1F3864"/>
          <w:sz w:val="20"/>
          <w:szCs w:val="20"/>
        </w:rPr>
        <w:t xml:space="preserve">Q: How did you handle test data setup?</w:t>
      </w:r>
    </w:p>
    <w:p>
      <w:pPr>
        <w:shd w:fill="F2F3F4" w:val="clear"/>
        <w:spacing w:after="160" w:before="0"/>
        <w:ind w:left="120" w:right="120"/>
      </w:pPr>
      <w:r>
        <w:rPr>
          <w:rFonts w:ascii="Arial" w:cs="Arial" w:eastAsia="Arial" w:hAnsi="Arial"/>
          <w:color w:val="000000"/>
          <w:sz w:val="20"/>
          <w:szCs w:val="20"/>
        </w:rPr>
        <w:t xml:space="preserve">A: I used a Data-Driven approach via Excel/Maven rather than hardcoding test data. For ISINs and Trade Dates, I created a custom DateGenerator utility that calculated T+1/T+2 settlement dates dynamically. For SWIFT message testing, templates with variable fields were injected via the message broker test harness. I also used RestAssured for API-based test data creation — e.g., creating a trade via API so it appears in the UI for settlement testing. For Oracle DB reference data, pre-built SQL scripts inserted valid ISINs, accounts, and CSD entries.</w:t>
      </w:r>
    </w:p>
    <w:p>
      <w:pPr>
        <w:pBdr>
          <w:bottom w:val="none"/>
        </w:pBdr>
        <w:shd w:fill="D6E4F0" w:val="clear"/>
        <w:spacing w:after="0" w:before="120"/>
        <w:ind w:left="120" w:right="120"/>
      </w:pPr>
      <w:r>
        <w:rPr>
          <w:rFonts w:ascii="Arial" w:cs="Arial" w:eastAsia="Arial" w:hAnsi="Arial"/>
          <w:b/>
          <w:bCs/>
          <w:color w:val="1F3864"/>
          <w:sz w:val="20"/>
          <w:szCs w:val="20"/>
        </w:rPr>
        <w:t xml:space="preserve">Q: How did you integrate with CI/CD?</w:t>
      </w:r>
    </w:p>
    <w:p>
      <w:pPr>
        <w:shd w:fill="F2F3F4" w:val="clear"/>
        <w:spacing w:after="160" w:before="0"/>
        <w:ind w:left="120" w:right="120"/>
      </w:pPr>
      <w:r>
        <w:rPr>
          <w:rFonts w:ascii="Arial" w:cs="Arial" w:eastAsia="Arial" w:hAnsi="Arial"/>
          <w:color w:val="000000"/>
          <w:sz w:val="20"/>
          <w:szCs w:val="20"/>
        </w:rPr>
        <w:t xml:space="preserve">A: I integrated the Maven project with Jenkins. Every code commit triggered a Jenkins pipeline that executed the TestNG suite and generated Cucumber HTML reports for the team. This ensured continuous regression coverage and early detection of issues after code changes.</w:t>
      </w:r>
    </w:p>
    <w:p>
      <w:pPr>
        <w:pBdr>
          <w:bottom w:val="none"/>
        </w:pBdr>
        <w:shd w:fill="D6E4F0" w:val="clear"/>
        <w:spacing w:after="0" w:before="120"/>
        <w:ind w:left="120" w:right="120"/>
      </w:pPr>
      <w:r>
        <w:rPr>
          <w:rFonts w:ascii="Arial" w:cs="Arial" w:eastAsia="Arial" w:hAnsi="Arial"/>
          <w:b/>
          <w:bCs/>
          <w:color w:val="1F3864"/>
          <w:sz w:val="20"/>
          <w:szCs w:val="20"/>
        </w:rPr>
        <w:t xml:space="preserve">Q: Did you do any API testing?</w:t>
      </w:r>
    </w:p>
    <w:p>
      <w:pPr>
        <w:shd w:fill="F2F3F4" w:val="clear"/>
        <w:spacing w:after="160" w:before="0"/>
        <w:ind w:left="120" w:right="120"/>
      </w:pPr>
      <w:r>
        <w:rPr>
          <w:rFonts w:ascii="Arial" w:cs="Arial" w:eastAsia="Arial" w:hAnsi="Arial"/>
          <w:color w:val="000000"/>
          <w:sz w:val="20"/>
          <w:szCs w:val="20"/>
        </w:rPr>
        <w:t xml:space="preserve">A: While my primary focus was UI automation, I used RestAssured for API-based test data setup — for example, creating settlement instructions via API endpoints so they appeared in the UI for further testing. This saved time compared to manual data setup and ensured tests started from a known state.</w:t>
      </w:r>
    </w:p>
    <w:p>
      <w:pPr>
        <w:pBdr>
          <w:bottom w:val="none"/>
        </w:pBdr>
        <w:shd w:fill="D6E4F0" w:val="clear"/>
        <w:spacing w:after="0" w:before="120"/>
        <w:ind w:left="120" w:right="120"/>
      </w:pPr>
      <w:r>
        <w:rPr>
          <w:rFonts w:ascii="Arial" w:cs="Arial" w:eastAsia="Arial" w:hAnsi="Arial"/>
          <w:b/>
          <w:bCs/>
          <w:color w:val="1F3864"/>
          <w:sz w:val="20"/>
          <w:szCs w:val="20"/>
        </w:rPr>
        <w:t xml:space="preserve">Q: What would you improve in your framework?</w:t>
      </w:r>
    </w:p>
    <w:p>
      <w:pPr>
        <w:shd w:fill="F2F3F4" w:val="clear"/>
        <w:spacing w:after="160" w:before="0"/>
        <w:ind w:left="120" w:right="120"/>
      </w:pPr>
      <w:r>
        <w:rPr>
          <w:rFonts w:ascii="Arial" w:cs="Arial" w:eastAsia="Arial" w:hAnsi="Arial"/>
          <w:color w:val="000000"/>
          <w:sz w:val="20"/>
          <w:szCs w:val="20"/>
        </w:rPr>
        <w:t xml:space="preserve">A: I would add better reporting with Allure Reports for richer visual dashboards and historical trend tracking. I would also improve parallel execution using TestNG parallel configuration to reduce overall regression run time. Additionally, I'd add a retry listener for flaky tests to distinguish genuine failures from environmental instability.</w:t>
      </w:r>
    </w:p>
    <w:p>
      <w:pPr>
        <w:pBdr>
          <w:bottom w:val="single" w:color="2E5F9A" w:sz="4" w:space="1"/>
        </w:pBdr>
        <w:spacing w:after="200" w:before="200"/>
      </w:pPr>
      <w:r>
        <w:t xml:space="preserve"/>
      </w:r>
    </w:p>
    <w:p>
      <w:pPr>
        <w:pStyle w:val="Heading2"/>
      </w:pPr>
      <w:r>
        <w:rPr>
          <w:rFonts w:ascii="Arial" w:cs="Arial" w:eastAsia="Arial" w:hAnsi="Arial"/>
          <w:b/>
          <w:bCs/>
          <w:color w:val="2E5F9A"/>
          <w:sz w:val="26"/>
          <w:szCs w:val="26"/>
        </w:rPr>
        <w:t xml:space="preserve">7.5  Testing Process &amp; QA Questions</w:t>
      </w:r>
    </w:p>
    <w:p>
      <w:pPr>
        <w:pBdr>
          <w:bottom w:val="none"/>
        </w:pBdr>
        <w:shd w:fill="D6E4F0" w:val="clear"/>
        <w:spacing w:after="0" w:before="120"/>
        <w:ind w:left="120" w:right="120"/>
      </w:pPr>
      <w:r>
        <w:rPr>
          <w:rFonts w:ascii="Arial" w:cs="Arial" w:eastAsia="Arial" w:hAnsi="Arial"/>
          <w:b/>
          <w:bCs/>
          <w:color w:val="1F3864"/>
          <w:sz w:val="20"/>
          <w:szCs w:val="20"/>
        </w:rPr>
        <w:t xml:space="preserve">Q: How do you decide what to automate?</w:t>
      </w:r>
    </w:p>
    <w:p>
      <w:pPr>
        <w:shd w:fill="F2F3F4" w:val="clear"/>
        <w:spacing w:after="160" w:before="0"/>
        <w:ind w:left="120" w:right="120"/>
      </w:pPr>
      <w:r>
        <w:rPr>
          <w:rFonts w:ascii="Arial" w:cs="Arial" w:eastAsia="Arial" w:hAnsi="Arial"/>
          <w:color w:val="000000"/>
          <w:sz w:val="20"/>
          <w:szCs w:val="20"/>
        </w:rPr>
        <w:t xml:space="preserve">A: I focus on high-risk, repetitive, and regression-critical flows — like error reprocessing, field validations, and settlement status transitions. These are scenarios that run every sprint, involve critical business logic, and where manual testing would be time-consuming and error-prone. I avoid automating one-time scenarios or areas with highly unstable UI.</w:t>
      </w:r>
    </w:p>
    <w:p>
      <w:pPr>
        <w:pBdr>
          <w:bottom w:val="none"/>
        </w:pBdr>
        <w:shd w:fill="D6E4F0" w:val="clear"/>
        <w:spacing w:after="0" w:before="120"/>
        <w:ind w:left="120" w:right="120"/>
      </w:pPr>
      <w:r>
        <w:rPr>
          <w:rFonts w:ascii="Arial" w:cs="Arial" w:eastAsia="Arial" w:hAnsi="Arial"/>
          <w:b/>
          <w:bCs/>
          <w:color w:val="1F3864"/>
          <w:sz w:val="20"/>
          <w:szCs w:val="20"/>
        </w:rPr>
        <w:t xml:space="preserve">Q: What information do you log in JIRA defects?</w:t>
      </w:r>
    </w:p>
    <w:p>
      <w:pPr>
        <w:shd w:fill="F2F3F4" w:val="clear"/>
        <w:spacing w:after="160" w:before="0"/>
        <w:ind w:left="120" w:right="120"/>
      </w:pPr>
      <w:r>
        <w:rPr>
          <w:rFonts w:ascii="Arial" w:cs="Arial" w:eastAsia="Arial" w:hAnsi="Arial"/>
          <w:color w:val="000000"/>
          <w:sz w:val="20"/>
          <w:szCs w:val="20"/>
        </w:rPr>
        <w:t xml:space="preserve">A: For every defect: a clear summary, the environment (test/UAT), steps to reproduce, expected vs actual result, screenshots, relevant logs, and the SQL query showing the incorrect database state if applicable. For critical defects like the hold bypass issue, I also included the SWIFT message context and the exact Oracle table values.</w:t>
      </w:r>
    </w:p>
    <w:p>
      <w:pPr>
        <w:pBdr>
          <w:bottom w:val="none"/>
        </w:pBdr>
        <w:shd w:fill="D6E4F0" w:val="clear"/>
        <w:spacing w:after="0" w:before="120"/>
        <w:ind w:left="120" w:right="120"/>
      </w:pPr>
      <w:r>
        <w:rPr>
          <w:rFonts w:ascii="Arial" w:cs="Arial" w:eastAsia="Arial" w:hAnsi="Arial"/>
          <w:b/>
          <w:bCs/>
          <w:color w:val="1F3864"/>
          <w:sz w:val="20"/>
          <w:szCs w:val="20"/>
        </w:rPr>
        <w:t xml:space="preserve">Q: How did you handle flaky automation failures?</w:t>
      </w:r>
    </w:p>
    <w:p>
      <w:pPr>
        <w:shd w:fill="F2F3F4" w:val="clear"/>
        <w:spacing w:after="160" w:before="0"/>
        <w:ind w:left="120" w:right="120"/>
      </w:pPr>
      <w:r>
        <w:rPr>
          <w:rFonts w:ascii="Arial" w:cs="Arial" w:eastAsia="Arial" w:hAnsi="Arial"/>
          <w:color w:val="000000"/>
          <w:sz w:val="20"/>
          <w:szCs w:val="20"/>
        </w:rPr>
        <w:t xml:space="preserve">A: I analyzed test logs and screenshots to identify the root cause. Common causes were: insufficient wait times (fixed with explicit waits or Fluent Waits), unstable locators (fixed with more robust XPath), or environment-specific issues (flagged to infrastructure team). I implemented a retry mechanism in TestNG so transient failures were retried before being marked as failed.</w:t>
      </w:r>
    </w:p>
    <w:p>
      <w:pPr>
        <w:pBdr>
          <w:bottom w:val="none"/>
        </w:pBdr>
        <w:shd w:fill="D6E4F0" w:val="clear"/>
        <w:spacing w:after="0" w:before="120"/>
        <w:ind w:left="120" w:right="120"/>
      </w:pPr>
      <w:r>
        <w:rPr>
          <w:rFonts w:ascii="Arial" w:cs="Arial" w:eastAsia="Arial" w:hAnsi="Arial"/>
          <w:b/>
          <w:bCs/>
          <w:color w:val="1F3864"/>
          <w:sz w:val="20"/>
          <w:szCs w:val="20"/>
        </w:rPr>
        <w:t xml:space="preserve">Q: Can you give an example of a challenging bug you found?</w:t>
      </w:r>
    </w:p>
    <w:p>
      <w:pPr>
        <w:shd w:fill="F2F3F4" w:val="clear"/>
        <w:spacing w:after="160" w:before="0"/>
        <w:ind w:left="120" w:right="120"/>
      </w:pPr>
      <w:r>
        <w:rPr>
          <w:rFonts w:ascii="Arial" w:cs="Arial" w:eastAsia="Arial" w:hAnsi="Arial"/>
          <w:color w:val="000000"/>
          <w:sz w:val="20"/>
          <w:szCs w:val="20"/>
        </w:rPr>
        <w:t xml:space="preserve">A: During testing of the Manual Hold &amp; Release module, I found that when an instruction was placed on hold and then a concurrent background process attempted to settle it, the hold status was not being checked correctly — allowing the instruction to proceed to settlement. This was a P1 defect because a held instruction must NEVER settle. I documented it with exact steps to reproduce, the Oracle DB query showing the incorrect status update, and expected vs actual behavior. It was fixed before production.</w:t>
      </w:r>
    </w:p>
    <w:p>
      <w:pPr>
        <w:pBdr>
          <w:bottom w:val="single" w:color="2E5F9A" w:sz="4" w:space="1"/>
        </w:pBdr>
        <w:spacing w:after="200" w:before="200"/>
      </w:pPr>
      <w:r>
        <w:t xml:space="preserve"/>
      </w:r>
    </w:p>
    <w:p>
      <w:pPr>
        <w:pStyle w:val="Heading2"/>
      </w:pPr>
      <w:r>
        <w:rPr>
          <w:rFonts w:ascii="Arial" w:cs="Arial" w:eastAsia="Arial" w:hAnsi="Arial"/>
          <w:b/>
          <w:bCs/>
          <w:color w:val="2E5F9A"/>
          <w:sz w:val="26"/>
          <w:szCs w:val="26"/>
        </w:rPr>
        <w:t xml:space="preserve">7.6  Agile &amp; Collaboration</w:t>
      </w:r>
    </w:p>
    <w:p>
      <w:pPr>
        <w:pBdr>
          <w:bottom w:val="none"/>
        </w:pBdr>
        <w:shd w:fill="D6E4F0" w:val="clear"/>
        <w:spacing w:after="0" w:before="120"/>
        <w:ind w:left="120" w:right="120"/>
      </w:pPr>
      <w:r>
        <w:rPr>
          <w:rFonts w:ascii="Arial" w:cs="Arial" w:eastAsia="Arial" w:hAnsi="Arial"/>
          <w:b/>
          <w:bCs/>
          <w:color w:val="1F3864"/>
          <w:sz w:val="20"/>
          <w:szCs w:val="20"/>
        </w:rPr>
        <w:t xml:space="preserve">Q: Agile or Waterfall?</w:t>
      </w:r>
    </w:p>
    <w:p>
      <w:pPr>
        <w:shd w:fill="F2F3F4" w:val="clear"/>
        <w:spacing w:after="160" w:before="0"/>
        <w:ind w:left="120" w:right="120"/>
      </w:pPr>
      <w:r>
        <w:rPr>
          <w:rFonts w:ascii="Arial" w:cs="Arial" w:eastAsia="Arial" w:hAnsi="Arial"/>
          <w:color w:val="000000"/>
          <w:sz w:val="20"/>
          <w:szCs w:val="20"/>
        </w:rPr>
        <w:t xml:space="preserve">A: We followed Agile methodology with 2-week sprints. Each sprint included sprint planning (to estimate and commit to stories), daily stand-ups (15-minute syncs on progress and blockers), sprint review (demo of completed work), and retrospectives (what went well, what to improve). Test cases and automation scripts were developed in the same sprint as development.</w:t>
      </w:r>
    </w:p>
    <w:p>
      <w:pPr>
        <w:pBdr>
          <w:bottom w:val="none"/>
        </w:pBdr>
        <w:shd w:fill="D6E4F0" w:val="clear"/>
        <w:spacing w:after="0" w:before="120"/>
        <w:ind w:left="120" w:right="120"/>
      </w:pPr>
      <w:r>
        <w:rPr>
          <w:rFonts w:ascii="Arial" w:cs="Arial" w:eastAsia="Arial" w:hAnsi="Arial"/>
          <w:b/>
          <w:bCs/>
          <w:color w:val="1F3864"/>
          <w:sz w:val="20"/>
          <w:szCs w:val="20"/>
        </w:rPr>
        <w:t xml:space="preserve">Q: How did you handle unclear requirements?</w:t>
      </w:r>
    </w:p>
    <w:p>
      <w:pPr>
        <w:shd w:fill="F2F3F4" w:val="clear"/>
        <w:spacing w:after="160" w:before="0"/>
        <w:ind w:left="120" w:right="120"/>
      </w:pPr>
      <w:r>
        <w:rPr>
          <w:rFonts w:ascii="Arial" w:cs="Arial" w:eastAsia="Arial" w:hAnsi="Arial"/>
          <w:color w:val="000000"/>
          <w:sz w:val="20"/>
          <w:szCs w:val="20"/>
        </w:rPr>
        <w:t xml:space="preserve">A: I discussed with the Business Analyst directly, reviewed requirement documents and functional specifications, and validated my understanding by writing test scenarios and getting them reviewed. For domain-specific ambiguities (like CSD-specific business rules), I escalated to the subject matter expert in the operations team.</w:t>
      </w:r>
    </w:p>
    <w:p>
      <w:pPr>
        <w:pBdr>
          <w:bottom w:val="single" w:color="2E5F9A" w:sz="4" w:space="1"/>
        </w:pBdr>
        <w:spacing w:after="200" w:before="200"/>
      </w:pPr>
      <w:r>
        <w:t xml:space="preserve"/>
      </w:r>
    </w:p>
    <w:p>
      <w:pPr>
        <w:pStyle w:val="Heading2"/>
      </w:pPr>
      <w:r>
        <w:rPr>
          <w:rFonts w:ascii="Arial" w:cs="Arial" w:eastAsia="Arial" w:hAnsi="Arial"/>
          <w:b/>
          <w:bCs/>
          <w:color w:val="2E5F9A"/>
          <w:sz w:val="26"/>
          <w:szCs w:val="26"/>
        </w:rPr>
        <w:t xml:space="preserve">7.7  HR / Behavioral Questions</w:t>
      </w:r>
    </w:p>
    <w:p>
      <w:pPr>
        <w:pBdr>
          <w:bottom w:val="none"/>
        </w:pBdr>
        <w:shd w:fill="D6E4F0" w:val="clear"/>
        <w:spacing w:after="0" w:before="120"/>
        <w:ind w:left="120" w:right="120"/>
      </w:pPr>
      <w:r>
        <w:rPr>
          <w:rFonts w:ascii="Arial" w:cs="Arial" w:eastAsia="Arial" w:hAnsi="Arial"/>
          <w:b/>
          <w:bCs/>
          <w:color w:val="1F3864"/>
          <w:sz w:val="20"/>
          <w:szCs w:val="20"/>
        </w:rPr>
        <w:t xml:space="preserve">Q: Why should we hire you?</w:t>
      </w:r>
    </w:p>
    <w:p>
      <w:pPr>
        <w:shd w:fill="F2F3F4" w:val="clear"/>
        <w:spacing w:after="160" w:before="0"/>
        <w:ind w:left="120" w:right="120"/>
      </w:pPr>
      <w:r>
        <w:rPr>
          <w:rFonts w:ascii="Arial" w:cs="Arial" w:eastAsia="Arial" w:hAnsi="Arial"/>
          <w:color w:val="000000"/>
          <w:sz w:val="20"/>
          <w:szCs w:val="20"/>
        </w:rPr>
        <w:t xml:space="preserve">A: I combine strong automation skills (Selenium, Java, TestNG, Cucumber, POM) with real-world banking domain knowledge from DB Sire. I understand post-trade settlement flows, SWIFT messaging, error handling workflows, and the criticality of getting things right in financial systems. I can add value quickly in a banking or financial domain project without a long ramp-up time.</w:t>
      </w:r>
    </w:p>
    <w:p>
      <w:pPr>
        <w:pBdr>
          <w:bottom w:val="none"/>
        </w:pBdr>
        <w:shd w:fill="D6E4F0" w:val="clear"/>
        <w:spacing w:after="0" w:before="120"/>
        <w:ind w:left="120" w:right="120"/>
      </w:pPr>
      <w:r>
        <w:rPr>
          <w:rFonts w:ascii="Arial" w:cs="Arial" w:eastAsia="Arial" w:hAnsi="Arial"/>
          <w:b/>
          <w:bCs/>
          <w:color w:val="1F3864"/>
          <w:sz w:val="20"/>
          <w:szCs w:val="20"/>
        </w:rPr>
        <w:t xml:space="preserve">Q: Why are you looking for a change?</w:t>
      </w:r>
    </w:p>
    <w:p>
      <w:pPr>
        <w:shd w:fill="F2F3F4" w:val="clear"/>
        <w:spacing w:after="160" w:before="0"/>
        <w:ind w:left="120" w:right="120"/>
      </w:pPr>
      <w:r>
        <w:rPr>
          <w:rFonts w:ascii="Arial" w:cs="Arial" w:eastAsia="Arial" w:hAnsi="Arial"/>
          <w:color w:val="000000"/>
          <w:sz w:val="20"/>
          <w:szCs w:val="20"/>
        </w:rPr>
        <w:t xml:space="preserve">A: I want to work on modern automation frameworks, expand my skills with tools like Playwright, REST API testing, and cloud-based CI/CD, and continue growing as an automation engineer on projects that challenge me technically and domain-wise.</w:t>
      </w:r>
    </w:p>
    <w:p>
      <w:pPr>
        <w:pBdr>
          <w:bottom w:val="none"/>
        </w:pBdr>
        <w:shd w:fill="D6E4F0" w:val="clear"/>
        <w:spacing w:after="0" w:before="120"/>
        <w:ind w:left="120" w:right="120"/>
      </w:pPr>
      <w:r>
        <w:rPr>
          <w:rFonts w:ascii="Arial" w:cs="Arial" w:eastAsia="Arial" w:hAnsi="Arial"/>
          <w:b/>
          <w:bCs/>
          <w:color w:val="1F3864"/>
          <w:sz w:val="20"/>
          <w:szCs w:val="20"/>
        </w:rPr>
        <w:t xml:space="preserve">Q: Manual or Automation preference?</w:t>
      </w:r>
    </w:p>
    <w:p>
      <w:pPr>
        <w:shd w:fill="F2F3F4" w:val="clear"/>
        <w:spacing w:after="160" w:before="0"/>
        <w:ind w:left="120" w:right="120"/>
      </w:pPr>
      <w:r>
        <w:rPr>
          <w:rFonts w:ascii="Arial" w:cs="Arial" w:eastAsia="Arial" w:hAnsi="Arial"/>
          <w:color w:val="000000"/>
          <w:sz w:val="20"/>
          <w:szCs w:val="20"/>
        </w:rPr>
        <w:t xml:space="preserve">A: I am automation-focused — I believe in automating high-risk and repetitive scenarios to free up time for exploratory and domain-specific testing. However, I'm fully comfortable with manual testing when required, especially for new feature exploration, UI/UX evaluation, and complex domain-specific scenarios that are difficult to automate reliably.</w:t>
      </w:r>
    </w:p>
    <w:p>
      <w:r>
        <w:br w:type="page"/>
      </w:r>
    </w:p>
    <w:p>
      <w:pPr>
        <w:pStyle w:val="Heading1"/>
      </w:pPr>
      <w:r>
        <w:rPr>
          <w:rFonts w:ascii="Arial" w:cs="Arial" w:eastAsia="Arial" w:hAnsi="Arial"/>
          <w:b/>
          <w:bCs/>
          <w:color w:val="1F3864"/>
          <w:sz w:val="32"/>
          <w:szCs w:val="32"/>
        </w:rPr>
        <w:t xml:space="preserve">8. Quick Revision — Flash Cards</w:t>
      </w:r>
    </w:p>
    <w:p>
      <w:pPr>
        <w:spacing w:after="60" w:before="60"/>
      </w:pPr>
      <w:r>
        <w:rPr>
          <w:rFonts w:ascii="Arial" w:cs="Arial" w:eastAsia="Arial" w:hAnsi="Arial"/>
          <w:b w:val="false"/>
          <w:bCs w:val="false"/>
          <w:color w:val="000000"/>
          <w:sz w:val="20"/>
          <w:szCs w:val="20"/>
        </w:rPr>
        <w:t xml:space="preserve">Use this section for last-minute revision before an interview. Covers the most likely quick-fire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Question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Answer</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What application?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 Sire — Deutsche Bank Settlement Information and Reconciliation Engine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What 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Securities Settlement — Post-Trade Operations (Corporate Banking)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Which markets?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Euronext — Amsterdam, Brussels, Paris, Lisbon, Dublin, Oslo, Milan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Java, Struts (v1/v2), JSP, HTML, Oracle DB, JMS/IBM MQ, SWIFT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Your role?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QA Automation Engineer — DCSEU (Deutsche Bank Client Securities EU)</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Key SWIFT message?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MT578 — Settlement Allegement (core of Alleged Instructions module)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Settlement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DVP (Delivery vs Payment) and DFP (Delivery Free of Payment)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CSD tested?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NBBE — NBB-Euroclear Belgium (BIC: NBBEBEBB216)</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Oracle Database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Settlement cycle?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T+2 (trade date + 2 business days) — standard for Euronext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Automation tools?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Selenium, Java, TestNG, Maven, Cucumber BDD, Page Object Model</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CI/CD?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Jenkins pipeline integrated with Maven/TestNG suite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 of modules tested?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 modules: Error Queue, Manual Entry, Hold/Release, Alleged Instructions, Stock Balance, CA Error Queue, Task Processing, Session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P1 defect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Hold bypass — concurrent process could settle a held instruction, violating the critical business rule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DVP vs DFP — testing difference?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DVP: validate both securities AND cash; DFP: validate securities balance only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Alleged instruction trigger message?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MT578 — Settlement Allegement received from counterparty/CSD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Hold instruction message?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MT530 — Transaction Processing Command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Stock balance messages?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MT535, MT536, MT537 — Statement of Holdings, Transactions, Pending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 messages?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MT564 (Notification), MT565 (Instruction), MT566 (Confirmation), MT567 (Status)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How to handle slow legacy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Fluent Waits, JavaScriptExecutor (document.readyState), TestNG retry mechanism</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Script bug vs functional bug?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Screenshot + logs: if UI shows 'Validation Failed' with correct data → functional bug; if locator fails → script bug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What is STP?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Straight-Through Processing — automated end-to-end settlement with no manual touch. DB Sire handles non-STP exceptions.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One-line project summary?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 Sire is Deutsche Bank's internal settlement app to manage failed trades; I ensured settlement workflows were tested and automated to reduce financial risk."</w:t>
            </w:r>
          </w:p>
        </w:tc>
      </w:tr>
    </w:tbl>
    <w:p>
      <w:pPr>
        <w:spacing w:after="0" w:before="200"/>
      </w:pPr>
      <w:r>
        <w:t xml:space="preserve"/>
      </w:r>
    </w:p>
    <w:p>
      <w:pPr>
        <w:spacing w:after="60" w:before="300"/>
        <w:jc w:val="center"/>
      </w:pPr>
      <w:r>
        <w:rPr>
          <w:rFonts w:ascii="Arial" w:cs="Arial" w:eastAsia="Arial" w:hAnsi="Arial"/>
          <w:b/>
          <w:bCs/>
          <w:i/>
          <w:iCs/>
          <w:color w:val="2E5F9A"/>
          <w:sz w:val="20"/>
          <w:szCs w:val="20"/>
        </w:rPr>
        <w:t xml:space="preserve">— END OF GUIDE —</w:t>
      </w:r>
    </w:p>
    <w:p>
      <w:pPr>
        <w:jc w:val="center"/>
      </w:pPr>
      <w:r>
        <w:rPr>
          <w:rFonts w:ascii="Arial" w:cs="Arial" w:eastAsia="Arial" w:hAnsi="Arial"/>
          <w:i/>
          <w:iCs/>
          <w:color w:val="888888"/>
          <w:sz w:val="16"/>
          <w:szCs w:val="16"/>
        </w:rPr>
        <w:t xml:space="preserve">Consolidated from: DBSire_QA_Interview_Guide | Project_Revision | DB_SIRE_WORKFLOW | Banking_Project_Questions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A" w:sz="4" w:space="4"/>
      </w:pBdr>
      <w:jc w:val="center"/>
    </w:pPr>
    <w:r>
      <w:rPr>
        <w:rFonts w:ascii="Arial" w:cs="Arial" w:eastAsia="Arial" w:hAnsi="Arial"/>
        <w:color w:val="2E5F9A"/>
        <w:sz w:val="16"/>
        <w:szCs w:val="16"/>
      </w:rPr>
      <w:t xml:space="preserve">Page </w:t>
    </w:r>
    <w:r>
      <w:rPr>
        <w:rFonts w:ascii="Arial" w:cs="Arial" w:eastAsia="Arial" w:hAnsi="Arial"/>
        <w:color w:val="2E5F9A"/>
        <w:sz w:val="16"/>
        <w:szCs w:val="16"/>
      </w:rPr>
      <w:fldChar w:fldCharType="begin"/>
      <w:instrText xml:space="preserve">PAGE</w:instrText>
      <w:fldChar w:fldCharType="separate"/>
      <w:fldChar w:fldCharType="end"/>
    </w:r>
    <w:r>
      <w:rPr>
        <w:rFonts w:ascii="Arial" w:cs="Arial" w:eastAsia="Arial" w:hAnsi="Arial"/>
        <w:color w:val="2E5F9A"/>
        <w:sz w:val="16"/>
        <w:szCs w:val="16"/>
      </w:rPr>
      <w:t xml:space="preserve"> of </w:t>
    </w:r>
    <w:r>
      <w:rPr>
        <w:rFonts w:ascii="Arial" w:cs="Arial" w:eastAsia="Arial" w:hAnsi="Arial"/>
        <w:color w:val="2E5F9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A" w:sz="4" w:space="4"/>
      </w:pBdr>
      <w:jc w:val="right"/>
    </w:pPr>
    <w:r>
      <w:rPr>
        <w:rFonts w:ascii="Arial" w:cs="Arial" w:eastAsia="Arial" w:hAnsi="Arial"/>
        <w:color w:val="2E5F9A"/>
        <w:sz w:val="16"/>
        <w:szCs w:val="16"/>
      </w:rPr>
      <w:t xml:space="preserve">DB SIRE — QA Interview Master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9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F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2026-04-03T06:40:27.091Z</dcterms:created>
  <dcterms:modified xsi:type="dcterms:W3CDTF">2026-04-03T06:40:27.091Z</dcterms:modified>
</cp:coreProperties>
</file>

<file path=docProps/custom.xml><?xml version="1.0" encoding="utf-8"?>
<Properties xmlns="http://schemas.openxmlformats.org/officeDocument/2006/custom-properties" xmlns:vt="http://schemas.openxmlformats.org/officeDocument/2006/docPropsVTypes"/>
</file>