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2E" w:rsidRDefault="002C7E2E" w:rsidP="002C7E2E">
      <w:pPr>
        <w:jc w:val="center"/>
        <w:rPr>
          <w:rFonts w:cstheme="minorHAnsi"/>
          <w:b/>
          <w:bCs/>
          <w:color w:val="1F3864" w:themeColor="accent5" w:themeShade="80"/>
          <w:kern w:val="0"/>
          <w:sz w:val="36"/>
          <w:szCs w:val="36"/>
        </w:rPr>
      </w:pPr>
      <w:bookmarkStart w:id="0" w:name="_Hlk147505832"/>
      <w:r w:rsidRPr="00AD5569">
        <w:rPr>
          <w:rFonts w:cstheme="minorHAnsi"/>
          <w:b/>
          <w:bCs/>
          <w:color w:val="1F3864" w:themeColor="accent5" w:themeShade="80"/>
          <w:kern w:val="0"/>
          <w:sz w:val="36"/>
          <w:szCs w:val="36"/>
        </w:rPr>
        <w:t>BANK LOAN REPORT</w:t>
      </w:r>
    </w:p>
    <w:p w:rsidR="002C7E2E" w:rsidRDefault="002C7E2E" w:rsidP="002C7E2E">
      <w:pPr>
        <w:jc w:val="center"/>
        <w:rPr>
          <w:b/>
          <w:bCs/>
          <w:color w:val="5B9BD5" w:themeColor="accent1"/>
          <w:sz w:val="32"/>
          <w:szCs w:val="32"/>
        </w:rPr>
      </w:pPr>
      <w:r w:rsidRPr="00034003">
        <w:rPr>
          <w:b/>
          <w:bCs/>
          <w:color w:val="5B9BD5" w:themeColor="accent1"/>
          <w:sz w:val="32"/>
          <w:szCs w:val="32"/>
        </w:rPr>
        <w:t>DOMAIN KNOWLEDGE</w:t>
      </w:r>
    </w:p>
    <w:bookmarkEnd w:id="0"/>
    <w:p w:rsidR="002C7E2E" w:rsidRPr="004D4928" w:rsidRDefault="002C7E2E" w:rsidP="002C7E2E">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2C7E2E" w:rsidRPr="009C5A7A" w:rsidRDefault="002C7E2E" w:rsidP="002C7E2E">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2C7E2E" w:rsidRDefault="002C7E2E" w:rsidP="002C7E2E">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2C7E2E" w:rsidRDefault="002C7E2E" w:rsidP="002C7E2E">
      <w:pPr>
        <w:spacing w:after="0" w:line="360" w:lineRule="auto"/>
        <w:jc w:val="both"/>
        <w:rPr>
          <w:rFonts w:cstheme="minorHAnsi"/>
          <w:sz w:val="24"/>
          <w:szCs w:val="24"/>
        </w:rPr>
      </w:pPr>
    </w:p>
    <w:p w:rsidR="002C7E2E" w:rsidRPr="009D3394" w:rsidRDefault="002C7E2E" w:rsidP="002C7E2E">
      <w:pPr>
        <w:jc w:val="both"/>
        <w:rPr>
          <w:b/>
          <w:bCs/>
          <w:color w:val="5B9BD5" w:themeColor="accent1"/>
          <w:sz w:val="28"/>
          <w:szCs w:val="28"/>
        </w:rPr>
      </w:pPr>
      <w:r>
        <w:rPr>
          <w:b/>
          <w:bCs/>
          <w:color w:val="5B9BD5" w:themeColor="accent1"/>
          <w:sz w:val="28"/>
          <w:szCs w:val="28"/>
        </w:rPr>
        <w:t>P</w:t>
      </w:r>
      <w:r w:rsidRPr="009D3394">
        <w:rPr>
          <w:b/>
          <w:bCs/>
          <w:color w:val="5B9BD5" w:themeColor="accent1"/>
          <w:sz w:val="28"/>
          <w:szCs w:val="28"/>
        </w:rPr>
        <w:t xml:space="preserve">rocess of </w:t>
      </w:r>
      <w:r>
        <w:rPr>
          <w:b/>
          <w:bCs/>
          <w:color w:val="5B9BD5" w:themeColor="accent1"/>
          <w:sz w:val="28"/>
          <w:szCs w:val="28"/>
        </w:rPr>
        <w:t>G</w:t>
      </w:r>
      <w:r w:rsidRPr="009D3394">
        <w:rPr>
          <w:b/>
          <w:bCs/>
          <w:color w:val="5B9BD5" w:themeColor="accent1"/>
          <w:sz w:val="28"/>
          <w:szCs w:val="28"/>
        </w:rPr>
        <w:t xml:space="preserve">ranting a </w:t>
      </w:r>
      <w:r>
        <w:rPr>
          <w:b/>
          <w:bCs/>
          <w:color w:val="5B9BD5" w:themeColor="accent1"/>
          <w:sz w:val="28"/>
          <w:szCs w:val="28"/>
        </w:rPr>
        <w:t>L</w:t>
      </w:r>
      <w:r w:rsidRPr="009D3394">
        <w:rPr>
          <w:b/>
          <w:bCs/>
          <w:color w:val="5B9BD5" w:themeColor="accent1"/>
          <w:sz w:val="28"/>
          <w:szCs w:val="28"/>
        </w:rPr>
        <w:t>oan</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Loan Application:</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2C7E2E" w:rsidRPr="006C7B33" w:rsidRDefault="002C7E2E" w:rsidP="002C7E2E">
      <w:pPr>
        <w:spacing w:after="0" w:line="360" w:lineRule="auto"/>
        <w:jc w:val="both"/>
        <w:rPr>
          <w:rFonts w:cstheme="minorHAnsi"/>
          <w:sz w:val="24"/>
          <w:szCs w:val="24"/>
        </w:rPr>
      </w:pPr>
      <w:r w:rsidRPr="006C7B33">
        <w:rPr>
          <w:rFonts w:cstheme="minorHAnsi"/>
          <w:b/>
          <w:bCs/>
          <w:sz w:val="24"/>
          <w:szCs w:val="24"/>
        </w:rPr>
        <w:t>Application Review:</w:t>
      </w:r>
    </w:p>
    <w:p w:rsidR="002C7E2E" w:rsidRDefault="002C7E2E" w:rsidP="002C7E2E">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2C7E2E" w:rsidRDefault="002C7E2E" w:rsidP="002C7E2E">
      <w:pPr>
        <w:spacing w:after="0" w:line="360" w:lineRule="auto"/>
        <w:jc w:val="both"/>
        <w:rPr>
          <w:rFonts w:cstheme="minorHAnsi"/>
          <w:sz w:val="24"/>
          <w:szCs w:val="24"/>
        </w:rPr>
      </w:pPr>
    </w:p>
    <w:p w:rsidR="002C7E2E" w:rsidRPr="006C7B33" w:rsidRDefault="002C7E2E" w:rsidP="002C7E2E">
      <w:pPr>
        <w:spacing w:after="0" w:line="360" w:lineRule="auto"/>
        <w:jc w:val="both"/>
        <w:rPr>
          <w:rFonts w:cstheme="minorHAnsi"/>
          <w:sz w:val="24"/>
          <w:szCs w:val="24"/>
        </w:rPr>
      </w:pP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Credit Check:</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Income Verification:</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Debt-to-Income Ratio (DTI) Check:</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Employment Verification:</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Collateral Assessment (if applicable):</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2C7E2E" w:rsidRPr="006C7B33" w:rsidRDefault="002C7E2E" w:rsidP="002C7E2E">
      <w:pPr>
        <w:spacing w:after="0" w:line="360" w:lineRule="auto"/>
        <w:jc w:val="both"/>
        <w:rPr>
          <w:rFonts w:cstheme="minorHAnsi"/>
          <w:b/>
          <w:bCs/>
          <w:sz w:val="24"/>
          <w:szCs w:val="24"/>
        </w:rPr>
      </w:pPr>
      <w:r w:rsidRPr="006C7B33">
        <w:rPr>
          <w:rFonts w:cstheme="minorHAnsi"/>
          <w:b/>
          <w:bCs/>
          <w:sz w:val="24"/>
          <w:szCs w:val="24"/>
        </w:rPr>
        <w:t>Risk Assessment:</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2C7E2E" w:rsidRDefault="002C7E2E" w:rsidP="002C7E2E">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2C7E2E" w:rsidRDefault="002C7E2E" w:rsidP="002C7E2E">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2C7E2E" w:rsidRDefault="002C7E2E" w:rsidP="002C7E2E">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2C7E2E" w:rsidRDefault="002C7E2E" w:rsidP="002C7E2E">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2C7E2E" w:rsidRDefault="002C7E2E" w:rsidP="002C7E2E">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2C7E2E" w:rsidRPr="006C7B33" w:rsidRDefault="002C7E2E" w:rsidP="002C7E2E">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2C7E2E" w:rsidRPr="009C5A7A" w:rsidRDefault="002C7E2E" w:rsidP="002C7E2E">
      <w:pPr>
        <w:spacing w:after="0" w:line="360" w:lineRule="auto"/>
        <w:jc w:val="both"/>
        <w:rPr>
          <w:rFonts w:cstheme="minorHAnsi"/>
          <w:sz w:val="24"/>
          <w:szCs w:val="24"/>
        </w:rPr>
      </w:pPr>
    </w:p>
    <w:p w:rsidR="002C7E2E" w:rsidRPr="009C5A7A" w:rsidRDefault="002C7E2E" w:rsidP="002C7E2E">
      <w:pPr>
        <w:jc w:val="both"/>
        <w:rPr>
          <w:b/>
          <w:bCs/>
          <w:color w:val="5B9BD5" w:themeColor="accent1"/>
          <w:sz w:val="28"/>
          <w:szCs w:val="28"/>
        </w:rPr>
      </w:pPr>
      <w:r w:rsidRPr="009C5A7A">
        <w:rPr>
          <w:b/>
          <w:bCs/>
          <w:color w:val="5B9BD5" w:themeColor="accent1"/>
          <w:sz w:val="28"/>
          <w:szCs w:val="28"/>
        </w:rPr>
        <w:t>Reasons for Analysing Bank Loan Data:</w:t>
      </w:r>
    </w:p>
    <w:p w:rsidR="002C7E2E" w:rsidRPr="009C5A7A" w:rsidRDefault="002C7E2E" w:rsidP="002C7E2E">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2C7E2E" w:rsidRPr="009C5A7A" w:rsidRDefault="002C7E2E" w:rsidP="002C7E2E">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666012" w:rsidRDefault="00666012">
      <w:bookmarkStart w:id="1" w:name="_GoBack"/>
      <w:bookmarkEnd w:id="1"/>
    </w:p>
    <w:sectPr w:rsidR="0066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2E"/>
    <w:rsid w:val="002C7E2E"/>
    <w:rsid w:val="0066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3D623-333F-4414-A7D6-16D4A2AF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2E"/>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2024-12-29T11:25:00Z</dcterms:created>
  <dcterms:modified xsi:type="dcterms:W3CDTF">2024-12-29T11:26:00Z</dcterms:modified>
</cp:coreProperties>
</file>