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b/>
          <w:color w:val="148C82"/>
          <w:sz w:val="22"/>
        </w:rPr>
        <w:t>CY530  /  FIELD LAB</w:t>
      </w:r>
    </w:p>
    <w:p>
      <w:pPr>
        <w:pStyle w:val="Title"/>
        <w:spacing w:after="160"/>
      </w:pPr>
      <w:r>
        <w:t>Endpoint Detective</w:t>
      </w:r>
    </w:p>
    <w:p>
      <w:pPr>
        <w:spacing w:after="360"/>
      </w:pPr>
      <w:r>
        <w:rPr>
          <w:rFonts w:ascii="Aptos Display" w:hAnsi="Aptos Display"/>
          <w:color w:val="64777E"/>
          <w:sz w:val="42"/>
        </w:rPr>
        <w:t>Professor-led lab walkthrough</w:t>
      </w:r>
    </w:p>
    <w:p>
      <w:pPr>
        <w:spacing w:after="400"/>
      </w:pPr>
      <w:r>
        <w:rPr>
          <w:color w:val="20343B"/>
          <w:sz w:val="24"/>
        </w:rPr>
        <w:t>A teaching script for guiding students from endpoint state to independent event evidence and a defensible reconciliation.</w:t>
      </w:r>
    </w:p>
    <w:tbl>
      <w:tblPr>
        <w:tblW w:type="auto" w:w="0"/>
        <w:jc w:val="center"/>
        <w:tblLayout w:type="autofit"/>
        <w:tblLook w:firstColumn="1" w:firstRow="1" w:lastColumn="0" w:lastRow="0" w:noHBand="0" w:noVBand="1" w:val="04A0"/>
      </w:tblPr>
      <w:tblGrid>
        <w:gridCol w:w="9994"/>
      </w:tblGrid>
      <w:tr>
        <w:tc>
          <w:tcPr>
            <w:tcW w:type="dxa" w:w="9994"/>
            <w:shd w:fill="F5E9C9"/>
            <w:tcMar>
              <w:top w:w="140" w:type="dxa"/>
              <w:start w:w="180" w:type="dxa"/>
              <w:bottom w:w="140" w:type="dxa"/>
              <w:end w:w="180" w:type="dxa"/>
            </w:tcMar>
          </w:tcPr>
          <w:p>
            <w:pPr>
              <w:spacing w:after="0"/>
            </w:pPr>
            <w:r>
              <w:rPr>
                <w:rFonts w:ascii="Aptos" w:hAnsi="Aptos"/>
                <w:b/>
                <w:color w:val="9A6B13"/>
                <w:sz w:val="16"/>
              </w:rPr>
              <w:t xml:space="preserve">INSTRUCTOR COPY  </w:t>
            </w:r>
            <w:r>
              <w:rPr>
                <w:rFonts w:ascii="Aptos" w:hAnsi="Aptos"/>
                <w:color w:val="20343B"/>
                <w:sz w:val="16"/>
              </w:rPr>
              <w:t>This document contains case answers, expected evidence selections, distractor guidance, and scoring notes. Keep it for instructor use.</w:t>
            </w:r>
          </w:p>
        </w:tc>
      </w:tr>
    </w:tbl>
    <w:p>
      <w:pPr>
        <w:spacing w:after="0"/>
      </w:pPr>
    </w:p>
    <w:p>
      <w:pPr>
        <w:spacing w:before="680"/>
      </w:pPr>
      <w:r>
        <w:rPr>
          <w:b/>
          <w:color w:val="148C82"/>
          <w:sz w:val="16"/>
        </w:rPr>
        <w:t>TEACHING THROUGHLINE</w:t>
      </w:r>
    </w:p>
    <w:p>
      <w:pPr>
        <w:spacing w:after="360"/>
      </w:pPr>
      <w:r>
        <w:t>Snapshots show endpoint state; CSG records selected changes between snapshots; Wazuh records Windows and process activity. Correlate host, object, executable path, PID ancestry, command, and time to connect threat activity to CSG state, then state how much is directly confirmed.</w:t>
      </w:r>
    </w:p>
    <w:p>
      <w:r>
        <w:rPr>
          <w:i/>
          <w:color w:val="64777E"/>
          <w:sz w:val="20"/>
        </w:rPr>
        <w:t>Suggested delivery: 85 minutes, with a 60-minute compressed option.</w:t>
      </w:r>
    </w:p>
    <w:p>
      <w:r/>
    </w:p>
    <w:p>
      <w:pPr>
        <w:pStyle w:val="Heading1"/>
        <w:keepNext/>
      </w:pPr>
      <w:r>
        <w:t>How to use this walkthrough</w:t>
      </w:r>
    </w:p>
    <w:p>
      <w:pPr>
        <w:spacing w:after="100"/>
      </w:pPr>
      <w:r>
        <w:rPr>
          <w:i w:val="0"/>
        </w:rPr>
        <w:t>This is written for a live, instructor-led demonstration. Follow the “Say” lines as a script, use the “Show” steps to navigate the student workspace, and pause at the questions before revealing the expected conclusion. Substitute the assigned host and object names shown in each student’s case header. The exact commands below use Variant A as a classroom demonstration.</w:t>
      </w:r>
    </w:p>
    <w:tbl>
      <w:tblPr>
        <w:tblW w:type="auto" w:w="0"/>
        <w:jc w:val="center"/>
        <w:tblLayout w:type="autofit"/>
        <w:tblLook w:firstColumn="1" w:firstRow="1" w:lastColumn="0" w:lastRow="0" w:noHBand="0" w:noVBand="1" w:val="04A0"/>
      </w:tblPr>
      <w:tblGrid>
        <w:gridCol w:w="9994"/>
      </w:tblGrid>
      <w:tr>
        <w:tc>
          <w:tcPr>
            <w:tcW w:type="dxa" w:w="9994"/>
            <w:shd w:fill="E8F5F2"/>
            <w:tcMar>
              <w:top w:w="140" w:type="dxa"/>
              <w:start w:w="180" w:type="dxa"/>
              <w:bottom w:w="140" w:type="dxa"/>
              <w:end w:w="180" w:type="dxa"/>
            </w:tcMar>
          </w:tcPr>
          <w:p>
            <w:pPr>
              <w:spacing w:after="0"/>
            </w:pPr>
            <w:r>
              <w:rPr>
                <w:rFonts w:ascii="Aptos" w:hAnsi="Aptos"/>
                <w:sz w:val="16"/>
              </w:rPr>
              <w:t>TEACHING STANCE  Model separate source origins, then correlate exact identity, paths, PIDs, commands, task action, and time to connect Wazuh threat activity to CSG-observed state.</w:t>
            </w:r>
          </w:p>
        </w:tc>
      </w:tr>
    </w:tbl>
    <w:p>
      <w:pPr>
        <w:spacing w:after="0"/>
      </w:pPr>
    </w:p>
    <w:p>
      <w:pPr>
        <w:pStyle w:val="Heading2"/>
        <w:keepNext/>
      </w:pPr>
      <w:r>
        <w:t>At a glance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Section</w:t>
            </w:r>
          </w:p>
        </w:tc>
        <w:tc>
          <w:tcPr>
            <w:tcW w:type="dxa" w:w="8136"/>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Purpose</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Before class</w:t>
            </w:r>
          </w:p>
        </w:tc>
        <w:tc>
          <w:tcPr>
            <w:tcW w:type="dxa" w:w="813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Prepare the session, choose delivery mode, and have a Variant A demonstration ready.</w:t>
            </w:r>
          </w:p>
        </w:tc>
      </w:tr>
      <w:tr>
        <w:tc>
          <w:tcPr>
            <w:tcW w:type="dxa" w:w="223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Opening and evidence model</w:t>
            </w:r>
          </w:p>
        </w:tc>
        <w:tc>
          <w:tcPr>
            <w:tcW w:type="dxa" w:w="8136"/>
            <w:shd w:fill="F2F6F6"/>
            <w:vAlign w:val="center"/>
            <w:tcMar>
              <w:top w:w="100" w:type="dxa"/>
              <w:start w:w="130" w:type="dxa"/>
              <w:bottom w:w="100" w:type="dxa"/>
              <w:end w:w="130" w:type="dxa"/>
            </w:tcMar>
          </w:tcPr>
          <w:p>
            <w:pPr>
              <w:spacing w:after="0"/>
            </w:pPr>
            <w:r>
              <w:rPr>
                <w:rFonts w:ascii="Aptos" w:hAnsi="Aptos"/>
                <w:sz w:val="16"/>
              </w:rPr>
              <w:t>Teach the snapshot/CSG distinction and correlate the linked PowerShell activity to the changed objects.</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Cases 1–4</w:t>
            </w:r>
          </w:p>
        </w:tc>
        <w:tc>
          <w:tcPr>
            <w:tcW w:type="dxa" w:w="8136"/>
            <w:shd w:fill="FFFFFF"/>
            <w:vAlign w:val="center"/>
            <w:tcMar>
              <w:top w:w="100" w:type="dxa"/>
              <w:start w:w="130" w:type="dxa"/>
              <w:bottom w:w="100" w:type="dxa"/>
              <w:end w:w="130" w:type="dxa"/>
            </w:tcMar>
          </w:tcPr>
          <w:p>
            <w:pPr>
              <w:spacing w:after="0"/>
            </w:pPr>
            <w:r>
              <w:rPr>
                <w:rFonts w:ascii="Aptos" w:hAnsi="Aptos"/>
                <w:sz w:val="16"/>
              </w:rPr>
              <w:t>Move from a direct service match to a script-linked missing service event, then reconstruct a multi-object malicious incident and its gaps.</w:t>
            </w:r>
          </w:p>
        </w:tc>
      </w:tr>
      <w:tr>
        <w:tc>
          <w:tcPr>
            <w:tcW w:type="dxa" w:w="223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Reconcile and score</w:t>
            </w:r>
          </w:p>
        </w:tc>
        <w:tc>
          <w:tcPr>
            <w:tcW w:type="dxa" w:w="813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Show item-level evidence selection, classification, explanation, and the scoring standard.</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Debrief</w:t>
            </w:r>
          </w:p>
        </w:tc>
        <w:tc>
          <w:tcPr>
            <w:tcW w:type="dxa" w:w="813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Reconstruct the final incident and draw careful conclusions from missing telemetry.</w:t>
            </w:r>
          </w:p>
        </w:tc>
      </w:tr>
    </w:tbl>
    <w:p>
      <w:pPr>
        <w:spacing w:after="0"/>
      </w:pPr>
    </w:p>
    <w:p>
      <w:pPr>
        <w:pStyle w:val="Heading1"/>
        <w:keepNext/>
      </w:pPr>
      <w:r>
        <w:t>1. Prepare the room and lab</w:t>
      </w:r>
    </w:p>
    <w:p>
      <w:pPr>
        <w:spacing w:after="100"/>
      </w:pPr>
      <w:r>
        <w:rPr>
          <w:i w:val="0"/>
        </w:rPr>
        <w:t>Allow 10 minutes before students enter. The lab is frozen classroom data: the Wazuh view is archived and is not connected to live Wazuh. Keep the student experience focused on the investigation rather than infrastructure setup.</w:t>
      </w:r>
    </w:p>
    <w:p>
      <w:pPr>
        <w:pStyle w:val="ListNumber"/>
        <w:spacing w:after="60"/>
      </w:pPr>
      <w:r>
        <w:t>In the instructor console, start the class and confirm the intended cases are enabled. Use Guided mode for a shared sequence; use Challenge mode if students should navigate among enabled cases independently.</w:t>
      </w:r>
    </w:p>
    <w:p>
      <w:pPr>
        <w:pStyle w:val="ListNumber"/>
        <w:spacing w:after="60"/>
      </w:pPr>
      <w:r>
        <w:t>Open a student session on the display computer. Confirm the case header host and observation interval. The session is assigned one of five variants; tell students to use their own host and object names in every search.</w:t>
      </w:r>
    </w:p>
    <w:p>
      <w:pPr>
        <w:pStyle w:val="ListNumber"/>
        <w:spacing w:after="60"/>
      </w:pPr>
      <w:r>
        <w:t>Open the first case at Briefing. Keep this professor walkthrough private because it includes the answer key and exact selections.</w:t>
      </w:r>
    </w:p>
    <w:p>
      <w:pPr>
        <w:pStyle w:val="ListNumber"/>
        <w:spacing w:after="60"/>
      </w:pPr>
      <w:r>
        <w:t>For the final case, keep a board or shared document available for the chain: service → parent process → child PowerShell/4104 → listener → task / Run value. Add host, PID ancestry, executable path, and times as students establish them.</w:t>
      </w:r>
    </w:p>
    <w:p>
      <w:pPr>
        <w:pStyle w:val="ListNumber"/>
        <w:spacing w:after="60"/>
      </w:pPr>
      <w:r>
        <w:t>Remind students that timestamps in the app are formatted in the browser’s local timezone. The answer key’s reference times are UTC. Compare records within the same browser and use the event’s timestamp details when precision matters.</w:t>
      </w:r>
    </w:p>
    <w:p>
      <w:pPr>
        <w:pStyle w:val="Heading2"/>
        <w:keepNext/>
      </w:pPr>
      <w:r>
        <w:t>Suggested 95-minute schedule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17313B"/>
            <w:vAlign w:val="center"/>
            <w:tcMar>
              <w:top w:w="100" w:type="dxa"/>
              <w:start w:w="130" w:type="dxa"/>
              <w:bottom w:w="100" w:type="dxa"/>
              <w:end w:w="130" w:type="dxa"/>
            </w:tcMar>
          </w:tcPr>
          <w:p>
            <w:pPr>
              <w:spacing w:after="20" w:line="240" w:lineRule="auto"/>
            </w:pPr>
            <w:r>
              <w:rPr>
                <w:rFonts w:ascii="Aptos" w:hAnsi="Aptos"/>
                <w:sz w:val="15"/>
              </w:rPr>
            </w:r>
            <w:r>
              <w:rPr>
                <w:rFonts w:ascii="Aptos" w:hAnsi="Aptos"/>
                <w:b/>
                <w:color w:val="FFFFFF"/>
                <w:sz w:val="15"/>
              </w:rPr>
              <w:t>Minutes</w:t>
            </w:r>
          </w:p>
        </w:tc>
        <w:tc>
          <w:tcPr>
            <w:tcW w:type="dxa" w:w="3816"/>
            <w:shd w:fill="17313B"/>
            <w:vAlign w:val="center"/>
            <w:tcMar>
              <w:top w:w="100" w:type="dxa"/>
              <w:start w:w="130" w:type="dxa"/>
              <w:bottom w:w="100" w:type="dxa"/>
              <w:end w:w="130" w:type="dxa"/>
            </w:tcMar>
          </w:tcPr>
          <w:p>
            <w:pPr>
              <w:spacing w:after="20" w:line="240" w:lineRule="auto"/>
            </w:pPr>
            <w:r>
              <w:rPr>
                <w:rFonts w:ascii="Aptos" w:hAnsi="Aptos"/>
                <w:sz w:val="15"/>
              </w:rPr>
            </w:r>
            <w:r>
              <w:rPr>
                <w:rFonts w:ascii="Aptos" w:hAnsi="Aptos"/>
                <w:b/>
                <w:color w:val="FFFFFF"/>
                <w:sz w:val="15"/>
              </w:rPr>
              <w:t>Instructor move</w:t>
            </w:r>
          </w:p>
        </w:tc>
        <w:tc>
          <w:tcPr>
            <w:tcW w:type="dxa" w:w="5472"/>
            <w:shd w:fill="17313B"/>
            <w:vAlign w:val="center"/>
            <w:tcMar>
              <w:top w:w="100" w:type="dxa"/>
              <w:start w:w="130" w:type="dxa"/>
              <w:bottom w:w="100" w:type="dxa"/>
              <w:end w:w="130" w:type="dxa"/>
            </w:tcMar>
          </w:tcPr>
          <w:p>
            <w:pPr>
              <w:spacing w:after="20" w:line="240" w:lineRule="auto"/>
            </w:pPr>
            <w:r>
              <w:rPr>
                <w:rFonts w:ascii="Aptos" w:hAnsi="Aptos"/>
                <w:sz w:val="15"/>
              </w:rPr>
            </w:r>
            <w:r>
              <w:rPr>
                <w:rFonts w:ascii="Aptos" w:hAnsi="Aptos"/>
                <w:b/>
                <w:color w:val="FFFFFF"/>
                <w:sz w:val="15"/>
              </w:rPr>
              <w:t>Student action</w:t>
            </w:r>
          </w:p>
        </w:tc>
      </w:tr>
      <w:tr>
        <w:tc>
          <w:tcPr>
            <w:tcW w:type="dxa" w:w="1080"/>
            <w:shd w:fill="FFFFFF"/>
            <w:vAlign w:val="center"/>
            <w:tcMar>
              <w:top w:w="100" w:type="dxa"/>
              <w:start w:w="130" w:type="dxa"/>
              <w:bottom w:w="100" w:type="dxa"/>
              <w:end w:w="130" w:type="dxa"/>
            </w:tcMar>
          </w:tcPr>
          <w:p>
            <w:pPr>
              <w:spacing w:after="20" w:line="240" w:lineRule="auto"/>
            </w:pPr>
            <w:r>
              <w:rPr>
                <w:sz w:val="15"/>
              </w:rPr>
              <w:t>0–8</w:t>
            </w:r>
          </w:p>
        </w:tc>
        <w:tc>
          <w:tcPr>
            <w:tcW w:type="dxa" w:w="3816"/>
            <w:shd w:fill="FFFFFF"/>
            <w:vAlign w:val="center"/>
            <w:tcMar>
              <w:top w:w="100" w:type="dxa"/>
              <w:start w:w="130" w:type="dxa"/>
              <w:bottom w:w="100" w:type="dxa"/>
              <w:end w:w="130" w:type="dxa"/>
            </w:tcMar>
          </w:tcPr>
          <w:p>
            <w:pPr>
              <w:spacing w:after="20" w:line="240" w:lineRule="auto"/>
            </w:pPr>
            <w:r>
              <w:rPr>
                <w:sz w:val="15"/>
              </w:rPr>
              <w:t>Name what snapshots, CSG history, and Wazuh each establish. Set the host and observation boundary.</w:t>
            </w:r>
          </w:p>
        </w:tc>
        <w:tc>
          <w:tcPr>
            <w:tcW w:type="dxa" w:w="5472"/>
            <w:shd w:fill="FFFFFF"/>
            <w:vAlign w:val="center"/>
            <w:tcMar>
              <w:top w:w="100" w:type="dxa"/>
              <w:start w:w="130" w:type="dxa"/>
              <w:bottom w:w="100" w:type="dxa"/>
              <w:end w:w="130" w:type="dxa"/>
            </w:tcMar>
          </w:tcPr>
          <w:p>
            <w:pPr>
              <w:spacing w:after="20" w:line="240" w:lineRule="auto"/>
            </w:pPr>
            <w:r>
              <w:rPr>
                <w:sz w:val="15"/>
              </w:rPr>
              <w:t>Identify the three evidence sources and the case question.</w:t>
            </w:r>
          </w:p>
        </w:tc>
      </w:tr>
      <w:tr>
        <w:tc>
          <w:tcPr>
            <w:tcW w:type="dxa" w:w="1080"/>
            <w:shd w:fill="F2F6F6"/>
            <w:vAlign w:val="center"/>
            <w:tcMar>
              <w:top w:w="100" w:type="dxa"/>
              <w:start w:w="130" w:type="dxa"/>
              <w:bottom w:w="100" w:type="dxa"/>
              <w:end w:w="130" w:type="dxa"/>
            </w:tcMar>
          </w:tcPr>
          <w:p>
            <w:pPr>
              <w:spacing w:after="20" w:line="240" w:lineRule="auto"/>
            </w:pPr>
            <w:r>
              <w:rPr>
                <w:sz w:val="15"/>
              </w:rPr>
              <w:t>8–18</w:t>
            </w:r>
          </w:p>
        </w:tc>
        <w:tc>
          <w:tcPr>
            <w:tcW w:type="dxa" w:w="3816"/>
            <w:shd w:fill="F2F6F6"/>
            <w:vAlign w:val="center"/>
            <w:tcMar>
              <w:top w:w="100" w:type="dxa"/>
              <w:start w:w="130" w:type="dxa"/>
              <w:bottom w:w="100" w:type="dxa"/>
              <w:end w:w="130" w:type="dxa"/>
            </w:tcMar>
          </w:tcPr>
          <w:p>
            <w:pPr>
              <w:spacing w:after="20" w:line="240" w:lineRule="auto"/>
            </w:pPr>
            <w:r>
              <w:rPr>
                <w:sz w:val="15"/>
              </w:rPr>
              <w:t>Demonstrate the exact 7045 service installation and trace its image into the malicious PowerShell script.</w:t>
            </w:r>
          </w:p>
        </w:tc>
        <w:tc>
          <w:tcPr>
            <w:tcW w:type="dxa" w:w="5472"/>
            <w:shd w:fill="F2F6F6"/>
            <w:vAlign w:val="center"/>
            <w:tcMar>
              <w:top w:w="100" w:type="dxa"/>
              <w:start w:w="130" w:type="dxa"/>
              <w:bottom w:w="100" w:type="dxa"/>
              <w:end w:w="130" w:type="dxa"/>
            </w:tcMar>
          </w:tcPr>
          <w:p>
            <w:pPr>
              <w:spacing w:after="20" w:line="240" w:lineRule="auto"/>
            </w:pPr>
            <w:r>
              <w:rPr>
                <w:sz w:val="15"/>
              </w:rPr>
              <w:t>Compare A/B; match host, service, operation, and path.</w:t>
            </w:r>
          </w:p>
        </w:tc>
      </w:tr>
      <w:tr>
        <w:tc>
          <w:tcPr>
            <w:tcW w:type="dxa" w:w="1080"/>
            <w:shd w:fill="FFFFFF"/>
            <w:vAlign w:val="center"/>
            <w:tcMar>
              <w:top w:w="100" w:type="dxa"/>
              <w:start w:w="130" w:type="dxa"/>
              <w:bottom w:w="100" w:type="dxa"/>
              <w:end w:w="130" w:type="dxa"/>
            </w:tcMar>
          </w:tcPr>
          <w:p>
            <w:pPr>
              <w:spacing w:after="20" w:line="240" w:lineRule="auto"/>
            </w:pPr>
            <w:r>
              <w:rPr>
                <w:sz w:val="15"/>
              </w:rPr>
              <w:t>18–30</w:t>
            </w:r>
          </w:p>
        </w:tc>
        <w:tc>
          <w:tcPr>
            <w:tcW w:type="dxa" w:w="3816"/>
            <w:shd w:fill="FFFFFF"/>
            <w:vAlign w:val="center"/>
            <w:tcMar>
              <w:top w:w="100" w:type="dxa"/>
              <w:start w:w="130" w:type="dxa"/>
              <w:bottom w:w="100" w:type="dxa"/>
              <w:end w:w="130" w:type="dxa"/>
            </w:tcMar>
          </w:tcPr>
          <w:p>
            <w:pPr>
              <w:spacing w:after="20" w:line="240" w:lineRule="auto"/>
            </w:pPr>
            <w:r>
              <w:rPr>
                <w:sz w:val="15"/>
              </w:rPr>
              <w:t>Use Case 2 to compare 4104 stop/config/start content with 7036 recovery and the missing 7040.</w:t>
            </w:r>
          </w:p>
        </w:tc>
        <w:tc>
          <w:tcPr>
            <w:tcW w:type="dxa" w:w="5472"/>
            <w:shd w:fill="FFFFFF"/>
            <w:vAlign w:val="center"/>
            <w:tcMar>
              <w:top w:w="100" w:type="dxa"/>
              <w:start w:w="130" w:type="dxa"/>
              <w:bottom w:w="100" w:type="dxa"/>
              <w:end w:w="130" w:type="dxa"/>
            </w:tcMar>
          </w:tcPr>
          <w:p>
            <w:pPr>
              <w:spacing w:after="20" w:line="240" w:lineRule="auto"/>
            </w:pPr>
            <w:r>
              <w:rPr>
                <w:sz w:val="15"/>
              </w:rPr>
              <w:t>Separate the read-only query and incompatible 7040 records from the true sequence.</w:t>
            </w:r>
          </w:p>
        </w:tc>
      </w:tr>
      <w:tr>
        <w:tc>
          <w:tcPr>
            <w:tcW w:type="dxa" w:w="1080"/>
            <w:shd w:fill="F2F6F6"/>
            <w:vAlign w:val="center"/>
            <w:tcMar>
              <w:top w:w="100" w:type="dxa"/>
              <w:start w:w="130" w:type="dxa"/>
              <w:bottom w:w="100" w:type="dxa"/>
              <w:end w:w="130" w:type="dxa"/>
            </w:tcMar>
          </w:tcPr>
          <w:p>
            <w:pPr>
              <w:spacing w:after="20" w:line="240" w:lineRule="auto"/>
            </w:pPr>
            <w:r>
              <w:rPr>
                <w:sz w:val="15"/>
              </w:rPr>
              <w:t>30–43</w:t>
            </w:r>
          </w:p>
        </w:tc>
        <w:tc>
          <w:tcPr>
            <w:tcW w:type="dxa" w:w="3816"/>
            <w:shd w:fill="F2F6F6"/>
            <w:vAlign w:val="center"/>
            <w:tcMar>
              <w:top w:w="100" w:type="dxa"/>
              <w:start w:w="130" w:type="dxa"/>
              <w:bottom w:w="100" w:type="dxa"/>
              <w:end w:w="130" w:type="dxa"/>
            </w:tcMar>
          </w:tcPr>
          <w:p>
            <w:pPr>
              <w:spacing w:after="20" w:line="240" w:lineRule="auto"/>
            </w:pPr>
            <w:r>
              <w:rPr>
                <w:sz w:val="15"/>
              </w:rPr>
              <w:t>Work Case 3: compare the service cycle, process lifecycle, and persistent task evidence.</w:t>
            </w:r>
          </w:p>
        </w:tc>
        <w:tc>
          <w:tcPr>
            <w:tcW w:type="dxa" w:w="5472"/>
            <w:shd w:fill="F2F6F6"/>
            <w:vAlign w:val="center"/>
            <w:tcMar>
              <w:top w:w="100" w:type="dxa"/>
              <w:start w:w="130" w:type="dxa"/>
              <w:bottom w:w="100" w:type="dxa"/>
              <w:end w:w="130" w:type="dxa"/>
            </w:tcMar>
          </w:tcPr>
          <w:p>
            <w:pPr>
              <w:spacing w:after="20" w:line="240" w:lineRule="auto"/>
            </w:pPr>
            <w:r>
              <w:rPr>
                <w:sz w:val="15"/>
              </w:rPr>
              <w:t>Collect both 7040s, Sysmon 1/5, and task 106 plus 4104.</w:t>
            </w:r>
          </w:p>
        </w:tc>
      </w:tr>
      <w:tr>
        <w:tc>
          <w:tcPr>
            <w:tcW w:type="dxa" w:w="1080"/>
            <w:shd w:fill="FFFFFF"/>
            <w:vAlign w:val="center"/>
            <w:tcMar>
              <w:top w:w="100" w:type="dxa"/>
              <w:start w:w="130" w:type="dxa"/>
              <w:bottom w:w="100" w:type="dxa"/>
              <w:end w:w="130" w:type="dxa"/>
            </w:tcMar>
          </w:tcPr>
          <w:p>
            <w:pPr>
              <w:spacing w:after="20" w:line="240" w:lineRule="auto"/>
            </w:pPr>
            <w:r>
              <w:rPr>
                <w:sz w:val="15"/>
              </w:rPr>
              <w:t>43–58</w:t>
            </w:r>
          </w:p>
        </w:tc>
        <w:tc>
          <w:tcPr>
            <w:tcW w:type="dxa" w:w="3816"/>
            <w:shd w:fill="FFFFFF"/>
            <w:vAlign w:val="center"/>
            <w:tcMar>
              <w:top w:w="100" w:type="dxa"/>
              <w:start w:w="130" w:type="dxa"/>
              <w:bottom w:w="100" w:type="dxa"/>
              <w:end w:w="130" w:type="dxa"/>
            </w:tcMar>
          </w:tcPr>
          <w:p>
            <w:pPr>
              <w:spacing w:after="20" w:line="240" w:lineRule="auto"/>
            </w:pPr>
            <w:r>
              <w:rPr>
                <w:sz w:val="15"/>
              </w:rPr>
              <w:t>Walk the two linked stages in Case 4 across A→B and B→C; inspect near-time wrong-identity records.</w:t>
            </w:r>
          </w:p>
        </w:tc>
        <w:tc>
          <w:tcPr>
            <w:tcW w:type="dxa" w:w="5472"/>
            <w:shd w:fill="FFFFFF"/>
            <w:vAlign w:val="center"/>
            <w:tcMar>
              <w:top w:w="100" w:type="dxa"/>
              <w:start w:w="130" w:type="dxa"/>
              <w:bottom w:w="100" w:type="dxa"/>
              <w:end w:w="130" w:type="dxa"/>
            </w:tcMar>
          </w:tcPr>
          <w:p>
            <w:pPr>
              <w:spacing w:after="20" w:line="240" w:lineRule="auto"/>
            </w:pPr>
            <w:r>
              <w:rPr>
                <w:sz w:val="15"/>
              </w:rPr>
              <w:t>Carry the service path and PID into the task, listener process, and 5154 records.</w:t>
            </w:r>
          </w:p>
        </w:tc>
      </w:tr>
      <w:tr>
        <w:tc>
          <w:tcPr>
            <w:tcW w:type="dxa" w:w="1080"/>
            <w:shd w:fill="F2F6F6"/>
            <w:vAlign w:val="center"/>
            <w:tcMar>
              <w:top w:w="100" w:type="dxa"/>
              <w:start w:w="130" w:type="dxa"/>
              <w:bottom w:w="100" w:type="dxa"/>
              <w:end w:w="130" w:type="dxa"/>
            </w:tcMar>
          </w:tcPr>
          <w:p>
            <w:pPr>
              <w:spacing w:after="20" w:line="240" w:lineRule="auto"/>
            </w:pPr>
            <w:r>
              <w:rPr>
                <w:sz w:val="15"/>
              </w:rPr>
              <w:t>58–82</w:t>
            </w:r>
          </w:p>
        </w:tc>
        <w:tc>
          <w:tcPr>
            <w:tcW w:type="dxa" w:w="3816"/>
            <w:shd w:fill="F2F6F6"/>
            <w:vAlign w:val="center"/>
            <w:tcMar>
              <w:top w:w="100" w:type="dxa"/>
              <w:start w:w="130" w:type="dxa"/>
              <w:bottom w:w="100" w:type="dxa"/>
              <w:end w:w="130" w:type="dxa"/>
            </w:tcMar>
          </w:tcPr>
          <w:p>
            <w:pPr>
              <w:spacing w:after="20" w:line="240" w:lineRule="auto"/>
            </w:pPr>
            <w:r>
              <w:rPr>
                <w:sz w:val="15"/>
              </w:rPr>
              <w:t>Facilitate the Final Investigation, including its temporary listener and mixed persistence coverage.</w:t>
            </w:r>
          </w:p>
        </w:tc>
        <w:tc>
          <w:tcPr>
            <w:tcW w:type="dxa" w:w="5472"/>
            <w:shd w:fill="F2F6F6"/>
            <w:vAlign w:val="center"/>
            <w:tcMar>
              <w:top w:w="100" w:type="dxa"/>
              <w:start w:w="130" w:type="dxa"/>
              <w:bottom w:w="100" w:type="dxa"/>
              <w:end w:w="130" w:type="dxa"/>
            </w:tcMar>
          </w:tcPr>
          <w:p>
            <w:pPr>
              <w:spacing w:after="20" w:line="240" w:lineRule="auto"/>
            </w:pPr>
            <w:r>
              <w:rPr>
                <w:sz w:val="15"/>
              </w:rPr>
              <w:t>Build the chain and classify its five items with specific evidence gaps.</w:t>
            </w:r>
          </w:p>
        </w:tc>
      </w:tr>
      <w:tr>
        <w:tc>
          <w:tcPr>
            <w:tcW w:type="dxa" w:w="1080"/>
            <w:shd w:fill="FFFFFF"/>
            <w:vAlign w:val="center"/>
            <w:tcMar>
              <w:top w:w="100" w:type="dxa"/>
              <w:start w:w="130" w:type="dxa"/>
              <w:bottom w:w="100" w:type="dxa"/>
              <w:end w:w="130" w:type="dxa"/>
            </w:tcMar>
          </w:tcPr>
          <w:p>
            <w:pPr>
              <w:spacing w:after="20" w:line="240" w:lineRule="auto"/>
            </w:pPr>
            <w:r>
              <w:rPr>
                <w:sz w:val="15"/>
              </w:rPr>
              <w:t>82–95</w:t>
            </w:r>
          </w:p>
        </w:tc>
        <w:tc>
          <w:tcPr>
            <w:tcW w:type="dxa" w:w="3816"/>
            <w:shd w:fill="FFFFFF"/>
            <w:vAlign w:val="center"/>
            <w:tcMar>
              <w:top w:w="100" w:type="dxa"/>
              <w:start w:w="130" w:type="dxa"/>
              <w:bottom w:w="100" w:type="dxa"/>
              <w:end w:w="130" w:type="dxa"/>
            </w:tcMar>
          </w:tcPr>
          <w:p>
            <w:pPr>
              <w:spacing w:after="20" w:line="240" w:lineRule="auto"/>
            </w:pPr>
            <w:r>
              <w:rPr>
                <w:sz w:val="15"/>
              </w:rPr>
              <w:t>Reveal evidence review and debrief what is confirmed, correlated, or still unknown.</w:t>
            </w:r>
          </w:p>
        </w:tc>
        <w:tc>
          <w:tcPr>
            <w:tcW w:type="dxa" w:w="5472"/>
            <w:shd w:fill="FFFFFF"/>
            <w:vAlign w:val="center"/>
            <w:tcMar>
              <w:top w:w="100" w:type="dxa"/>
              <w:start w:w="130" w:type="dxa"/>
              <w:bottom w:w="100" w:type="dxa"/>
              <w:end w:w="130" w:type="dxa"/>
            </w:tcMar>
          </w:tcPr>
          <w:p>
            <w:pPr>
              <w:spacing w:after="20" w:line="240" w:lineRule="auto"/>
            </w:pPr>
            <w:r>
              <w:rPr>
                <w:sz w:val="15"/>
              </w:rPr>
              <w:t>Reconstruct the incident without treating proximity or script text as proof of execution.</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2F6F6"/>
            <w:tcMar>
              <w:top w:w="140" w:type="dxa"/>
              <w:start w:w="180" w:type="dxa"/>
              <w:bottom w:w="140" w:type="dxa"/>
              <w:end w:w="180" w:type="dxa"/>
            </w:tcMar>
          </w:tcPr>
          <w:p>
            <w:r>
              <w:t>IF YOU HAVE 60 MINUTES  Demonstrate Cases 1 and 2 in 14 minutes, work Case 3 for 8 minutes, trace the staged-relay Case 4 for 12 minutes, reserve 20 minutes for the Final Investigation, and use 6 minutes for synthesis.</w:t>
            </w:r>
          </w:p>
        </w:tc>
      </w:tr>
    </w:tbl>
    <w:p>
      <w:pPr>
        <w:spacing w:after="0"/>
      </w:pPr>
    </w:p>
    <w:p>
      <w:pPr>
        <w:pStyle w:val="Heading1"/>
        <w:keepNext/>
      </w:pPr>
      <w:r>
        <w:t>2. Open with the analyst question</w:t>
      </w:r>
    </w:p>
    <w:tbl>
      <w:tblPr>
        <w:tblW w:type="auto" w:w="0"/>
        <w:jc w:val="center"/>
        <w:tblLook w:firstColumn="1" w:firstRow="1" w:lastColumn="0" w:lastRow="0" w:noHBand="0" w:noVBand="1" w:val="04A0"/>
      </w:tblPr>
      <w:tblGrid>
        <w:gridCol w:w="9994"/>
      </w:tblGrid>
      <w:tr>
        <w:tc>
          <w:tcPr>
            <w:tcW w:type="dxa" w:w="9994"/>
            <w:shd w:fill="17313B"/>
            <w:tcMar>
              <w:top w:w="160" w:type="dxa"/>
              <w:start w:w="190" w:type="dxa"/>
              <w:bottom w:w="160" w:type="dxa"/>
              <w:end w:w="190" w:type="dxa"/>
            </w:tcMar>
          </w:tcPr>
          <w:p>
            <w:pPr>
              <w:spacing w:after="0"/>
            </w:pPr>
            <w:r>
              <w:rPr>
                <w:rFonts w:ascii="Aptos" w:hAnsi="Aptos"/>
                <w:sz w:val="16"/>
              </w:rPr>
              <w:t>SAY  “These are separate source records, so we can tell who observed each fact. After reading the CSG change, we will correlate exact identities and paths in Wazuh to see what threat activity is connected.”</w:t>
            </w:r>
          </w:p>
        </w:tc>
      </w:tr>
    </w:tbl>
    <w:p>
      <w:pPr>
        <w:spacing w:after="0"/>
      </w:pPr>
    </w:p>
    <w:p>
      <w:pPr>
        <w:spacing w:after="80"/>
      </w:pPr>
      <w:r>
        <w:rPr>
          <w:b/>
          <w:color w:val="148C82"/>
          <w:sz w:val="16"/>
        </w:rPr>
        <w:t xml:space="preserve">SHOW  </w:t>
      </w:r>
      <w:r>
        <w:t>Open the case Briefing. Point out the endpoint host, observation interval, and objective. Ask a student to read the case question in their own words.</w:t>
      </w:r>
    </w:p>
    <w:p>
      <w:pPr>
        <w:spacing w:after="80"/>
      </w:pPr>
      <w:r>
        <w:rPr>
          <w:b/>
          <w:color w:val="148C82"/>
          <w:sz w:val="16"/>
        </w:rPr>
        <w:t xml:space="preserve">ASK  </w:t>
      </w:r>
      <w:r>
        <w:t>“If an object is absent from Snapshot A and present in Snapshot B, what do we know? What do we still need to find out?”</w:t>
      </w:r>
    </w:p>
    <w:p>
      <w:pPr>
        <w:spacing w:after="80"/>
      </w:pPr>
      <w:r>
        <w:t>LISTEN FOR  “It persisted by the second observation, so CSG establishes a durable state change. Wazuh may show a native change event, or a process command that names the same object. We compare the sources and explain how strongly they link the threat activity to the state.”</w:t>
      </w:r>
    </w:p>
    <w:p>
      <w:pPr>
        <w:pStyle w:val="Heading2"/>
        <w:keepNext/>
      </w:pPr>
      <w:r>
        <w:t>Teach the three evidence layers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Layer</w:t>
            </w:r>
          </w:p>
        </w:tc>
        <w:tc>
          <w:tcPr>
            <w:tcW w:type="dxa" w:w="396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What it answers</w:t>
            </w:r>
          </w:p>
        </w:tc>
        <w:tc>
          <w:tcPr>
            <w:tcW w:type="dxa" w:w="4176"/>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What it cannot answer alone</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Snapshots and Snapshot Delta</w:t>
            </w:r>
          </w:p>
        </w:tc>
        <w:tc>
          <w:tcPr>
            <w:tcW w:type="dxa" w:w="3960"/>
            <w:shd w:fill="FFFFFF"/>
            <w:vAlign w:val="center"/>
            <w:tcMar>
              <w:top w:w="100" w:type="dxa"/>
              <w:start w:w="130" w:type="dxa"/>
              <w:bottom w:w="100" w:type="dxa"/>
              <w:end w:w="130" w:type="dxa"/>
            </w:tcMar>
          </w:tcPr>
          <w:p>
            <w:pPr>
              <w:spacing w:after="0"/>
            </w:pPr>
            <w:r>
              <w:rPr>
                <w:rFonts w:ascii="Aptos" w:hAnsi="Aptos"/>
                <w:sz w:val="16"/>
              </w:rPr>
              <w:t>What was present at the before and after observations; which additions, changes, or removals remained different at the later observation.</w:t>
            </w:r>
          </w:p>
        </w:tc>
        <w:tc>
          <w:tcPr>
            <w:tcW w:type="dxa" w:w="417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A process that started and exited, a listener that opened and closed, or a service that changed and reverted between snapshots.</w:t>
            </w:r>
          </w:p>
        </w:tc>
      </w:tr>
      <w:tr>
        <w:tc>
          <w:tcPr>
            <w:tcW w:type="dxa" w:w="223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CSG State Change Timeline</w:t>
            </w:r>
          </w:p>
        </w:tc>
        <w:tc>
          <w:tcPr>
            <w:tcW w:type="dxa" w:w="396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What CSG separately observed between snapshot boundaries, including intermediate changes.</w:t>
            </w:r>
          </w:p>
        </w:tc>
        <w:tc>
          <w:tcPr>
            <w:tcW w:type="dxa" w:w="417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Whether an independent Wazuh record corroborates the observation.</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Archived Wazuh telemetry</w:t>
            </w:r>
          </w:p>
        </w:tc>
        <w:tc>
          <w:tcPr>
            <w:tcW w:type="dxa" w:w="3960"/>
            <w:shd w:fill="FFFFFF"/>
            <w:vAlign w:val="center"/>
            <w:tcMar>
              <w:top w:w="100" w:type="dxa"/>
              <w:start w:w="130" w:type="dxa"/>
              <w:bottom w:w="100" w:type="dxa"/>
              <w:end w:w="130" w:type="dxa"/>
            </w:tcMar>
          </w:tcPr>
          <w:p>
            <w:pPr>
              <w:spacing w:after="0"/>
            </w:pPr>
            <w:r>
              <w:rPr>
                <w:rFonts w:ascii="Aptos" w:hAnsi="Aptos"/>
                <w:sz w:val="16"/>
              </w:rPr>
              <w:t>What Windows/Wazuh captured; commands, parent/child process links, and exact object data can connect threat activity to a CSG finding.</w:t>
            </w:r>
          </w:p>
        </w:tc>
        <w:tc>
          <w:tcPr>
            <w:tcW w:type="dxa" w:w="417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The whole state history by itself; a nearby record does not establish the CSG transition without matching identity and operation.</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8F5F2"/>
            <w:tcMar>
              <w:top w:w="140" w:type="dxa"/>
              <w:start w:w="180" w:type="dxa"/>
              <w:bottom w:w="140" w:type="dxa"/>
              <w:end w:w="180" w:type="dxa"/>
            </w:tcMar>
          </w:tcPr>
          <w:p>
            <w:pPr>
              <w:spacing w:after="0"/>
            </w:pPr>
            <w:r>
              <w:rPr>
                <w:rFonts w:ascii="Aptos" w:hAnsi="Aptos"/>
                <w:sz w:val="16"/>
              </w:rPr>
              <w:t>REPEAT THROUGHOUT  A CSG transition remains its own source record and is not generated from Wazuh. First understand the CSG observation; then correlate it with Wazuh by identity, operation, and time.</w:t>
            </w:r>
          </w:p>
        </w:tc>
      </w:tr>
    </w:tbl>
    <w:p>
      <w:pPr>
        <w:spacing w:after="0"/>
      </w:pPr>
    </w:p>
    <w:p>
      <w:pPr>
        <w:pStyle w:val="Heading1"/>
        <w:keepNext/>
      </w:pPr>
      <w:r>
        <w:t>3. Stage-by-stage teaching script</w:t>
      </w:r>
    </w:p>
    <w:p>
      <w:pPr>
        <w:pStyle w:val="Heading2"/>
        <w:keepNext/>
      </w:pPr>
      <w:r>
        <w:t>Stage 1 · Briefing</w:t>
      </w:r>
    </w:p>
    <w:p>
      <w:pPr>
        <w:spacing w:after="80"/>
      </w:pPr>
      <w:r>
        <w:rPr>
          <w:b/>
          <w:color w:val="148C82"/>
          <w:sz w:val="16"/>
        </w:rPr>
        <w:t xml:space="preserve">SHOW  </w:t>
      </w:r>
      <w:r>
        <w:t>Read the endpoint and time window. Make sure learners notice that each case has its own investigative item or items.</w:t>
      </w:r>
    </w:p>
    <w:p>
      <w:pPr>
        <w:spacing w:after="80"/>
      </w:pPr>
      <w:r>
        <w:rPr>
          <w:b/>
          <w:color w:val="148C82"/>
          <w:sz w:val="16"/>
        </w:rPr>
        <w:t xml:space="preserve">SAY  </w:t>
      </w:r>
      <w:r>
        <w:t>“Before searching, define the boundary: which endpoint, and between which observations? An event on another host or outside the interval cannot explain this case.”</w:t>
      </w:r>
    </w:p>
    <w:p>
      <w:pPr>
        <w:spacing w:after="80"/>
      </w:pPr>
      <w:r>
        <w:rPr>
          <w:b/>
          <w:color w:val="148C82"/>
          <w:sz w:val="16"/>
        </w:rPr>
        <w:t xml:space="preserve">ASK  </w:t>
      </w:r>
      <w:r>
        <w:t>“What would count as proof that we have a relevant candidate?”</w:t>
      </w:r>
    </w:p>
    <w:p>
      <w:pPr>
        <w:spacing w:after="80"/>
      </w:pPr>
      <w:r>
        <w:rPr>
          <w:b/>
          <w:color w:val="148C82"/>
          <w:sz w:val="16"/>
        </w:rPr>
        <w:t xml:space="preserve">LISTEN FOR  </w:t>
      </w:r>
      <w:r>
        <w:t>The exact endpoint; stable object identity; event type capable of representing the operation; compatible before/after values; and a timestamp inside the observation interval.</w:t>
      </w:r>
    </w:p>
    <w:p>
      <w:pPr>
        <w:pStyle w:val="Heading2"/>
        <w:keepNext/>
      </w:pPr>
      <w:r>
        <w:t>Stage 2 · CSG State</w:t>
      </w:r>
    </w:p>
    <w:p>
      <w:pPr>
        <w:pStyle w:val="ListNumber"/>
        <w:spacing w:after="60"/>
      </w:pPr>
      <w:r>
        <w:t>Click CSG State. Read the host and snapshot observations aloud. Check the health indicators before treating absence as meaningful.</w:t>
      </w:r>
    </w:p>
    <w:p>
      <w:pPr>
        <w:pStyle w:val="ListNumber"/>
        <w:spacing w:after="60"/>
      </w:pPr>
      <w:r>
        <w:t>Switch among the available captures in order. Use the category filter and inventory search to inspect the target object. In the three-capture case, compare A→B, then B→C; note which properties first appear or persist.</w:t>
      </w:r>
    </w:p>
    <w:p>
      <w:pPr>
        <w:pStyle w:val="ListNumber"/>
        <w:spacing w:after="60"/>
      </w:pPr>
      <w:r>
        <w:t>Compare adjacent captures in order. In the three-capture case, inspect A→B and then B→C. Expand each Snapshot Delta to read the complete before/after fields and linked CSG observations.</w:t>
      </w:r>
    </w:p>
    <w:p>
      <w:pPr>
        <w:pStyle w:val="ListNumber"/>
        <w:spacing w:after="60"/>
      </w:pPr>
      <w:r>
        <w:t>Read the CSG State Change Timeline as a distinct CSG source. For each item, use the category-specific action and values in sequence. Do not infer that no activity occurred when Snapshot A and Snapshot B agree.</w:t>
      </w:r>
    </w:p>
    <w:p>
      <w:pPr>
        <w:pStyle w:val="ListNumber"/>
        <w:spacing w:after="60"/>
      </w:pPr>
      <w:r>
        <w:t>For the final case, write down the path and identifiers before searching: service binary path, process image and PID/parent, listener PID/port, scheduled task action, and Run value data.</w:t>
      </w:r>
    </w:p>
    <w:tbl>
      <w:tblPr>
        <w:tblW w:type="auto" w:w="0"/>
        <w:jc w:val="center"/>
        <w:tblLook w:firstColumn="1" w:firstRow="1" w:lastColumn="0" w:lastRow="0" w:noHBand="0" w:noVBand="1" w:val="04A0"/>
      </w:tblPr>
      <w:tblGrid>
        <w:gridCol w:w="9994"/>
      </w:tblGrid>
      <w:tr>
        <w:tc>
          <w:tcPr>
            <w:tcW w:type="dxa" w:w="9994"/>
            <w:shd w:fill="17313B"/>
            <w:tcMar>
              <w:top w:w="160" w:type="dxa"/>
              <w:start w:w="190" w:type="dxa"/>
              <w:bottom w:w="160" w:type="dxa"/>
              <w:end w:w="190" w:type="dxa"/>
            </w:tcMar>
          </w:tcPr>
          <w:p>
            <w:pPr>
              <w:spacing w:after="0"/>
            </w:pPr>
            <w:r>
              <w:rPr>
                <w:rFonts w:ascii="Aptos" w:hAnsi="Aptos"/>
                <w:sz w:val="16"/>
              </w:rPr>
              <w:t>SAY  “I will finish reading the CSG record before opening Wazuh. That tells us which source observed each fact; then we can correlate the host, object, process path, command, and time.”</w:t>
            </w:r>
          </w:p>
        </w:tc>
      </w:tr>
    </w:tbl>
    <w:p>
      <w:pPr>
        <w:spacing w:after="0"/>
      </w:pPr>
    </w:p>
    <w:p>
      <w:pPr>
        <w:pStyle w:val="Heading2"/>
        <w:keepNext/>
      </w:pPr>
      <w:r>
        <w:t>Stage 3 · Wazuh Events</w:t>
      </w:r>
    </w:p>
    <w:p>
      <w:pPr>
        <w:spacing w:after="100"/>
      </w:pPr>
      <w:r>
        <w:rPr>
          <w:i w:val="0"/>
        </w:rPr>
        <w:t>The event console contains more than 15,000 records per case and variant. It includes routine background activity and purpose-built distractors: similar names, nearby timestamps, incompatible values, wrong hosts, and wrong PIDs or ports. Students must inspect a candidate rather than trust the search result row.</w:t>
      </w:r>
    </w:p>
    <w:p>
      <w:pPr>
        <w:pStyle w:val="Heading3"/>
        <w:keepNext/>
      </w:pPr>
      <w:r>
        <w:t>Demonstrate the search controls</w:t>
      </w:r>
    </w:p>
    <w:p>
      <w:pPr>
        <w:pStyle w:val="ListNumber"/>
        <w:spacing w:after="60"/>
      </w:pPr>
      <w:r>
        <w:t>Open Wazuh Events. Explain the search field as a query over fields and values. The supported classroom syntax includes field:value, quoted phrases, AND, OR, and free text. Keep the teaching queries simple; use AND to narrow to one candidate identity and event code.</w:t>
      </w:r>
    </w:p>
    <w:p>
      <w:pPr>
        <w:pStyle w:val="ListNumber"/>
        <w:spacing w:after="60"/>
      </w:pPr>
      <w:r>
        <w:t>Results update automatically about 350 ms after typing; Enter applies the current search immediately. The result table is paginated. Refine the query instead of skimming rows until one “looks close.”</w:t>
      </w:r>
    </w:p>
    <w:p>
      <w:pPr>
        <w:pStyle w:val="ListNumber"/>
        <w:spacing w:after="60"/>
      </w:pPr>
      <w:r>
        <w:t>Point out the category, event type, Windows event ID, provider, host, and time controls. Every change refreshes results automatically, and all controls combine with the text query. The Active Filters row shows the effective query. Archive-relative presets and custom From/To fields use the same time range as the chart; clicking a minute or dragging a span updates the fields. Clear filters returns the full case window. Time proximity only produces candidates.</w:t>
      </w:r>
    </w:p>
    <w:p>
      <w:pPr>
        <w:pStyle w:val="ListNumber"/>
        <w:spacing w:after="60"/>
      </w:pPr>
      <w:r>
        <w:t>Open a result row. In the Event Details drawer, compare timestamp, host, Windows event ID/provider, normalized fields, and record provenance. Use View Raw Event JSON when the normalized view hides a field needed to establish the match.</w:t>
      </w:r>
    </w:p>
    <w:p>
      <w:pPr>
        <w:pStyle w:val="ListNumber"/>
        <w:spacing w:after="60"/>
      </w:pPr>
      <w:r>
        <w:t>Add a record only after it passes the checks. The event is then linked to the currently selected investigation item and appears in its evidence tray. Reconcile items have separate trays.</w:t>
      </w:r>
    </w:p>
    <w:p>
      <w:pPr>
        <w:pStyle w:val="ListNumber"/>
        <w:spacing w:after="60"/>
      </w:pPr>
      <w:r>
        <w:t>When native telemetry is missing, inspect event 4104 and follow its process ancestry. If the script names the exact CSG object and requests the observed setting, explain that relationship as partial and state that command execution or causation is not independently confirmed.</w:t>
      </w:r>
    </w:p>
    <w:p>
      <w:pPr>
        <w:pStyle w:val="Heading3"/>
        <w:keepNext/>
      </w:pPr>
      <w:r>
        <w:t>Five checks for every candidate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Check</w:t>
            </w:r>
          </w:p>
        </w:tc>
        <w:tc>
          <w:tcPr>
            <w:tcW w:type="dxa" w:w="835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Instructor prompt</w:t>
            </w:r>
          </w:p>
        </w:tc>
      </w:tr>
      <w:tr>
        <w:tc>
          <w:tcPr>
            <w:tcW w:type="dxa" w:w="201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Host</w:t>
            </w:r>
          </w:p>
        </w:tc>
        <w:tc>
          <w:tcPr>
            <w:tcW w:type="dxa" w:w="835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“Is this the exact endpoint from the case header?”</w:t>
            </w:r>
          </w:p>
        </w:tc>
      </w:tr>
      <w:tr>
        <w:tc>
          <w:tcPr>
            <w:tcW w:type="dxa" w:w="201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Object identity</w:t>
            </w:r>
          </w:p>
        </w:tc>
        <w:tc>
          <w:tcPr>
            <w:tcW w:type="dxa" w:w="835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 the service/task/value names, PID, path, or port identify the same object?”</w:t>
            </w:r>
          </w:p>
        </w:tc>
      </w:tr>
      <w:tr>
        <w:tc>
          <w:tcPr>
            <w:tcW w:type="dxa" w:w="201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Operation</w:t>
            </w:r>
          </w:p>
        </w:tc>
        <w:tc>
          <w:tcPr>
            <w:tcW w:type="dxa" w:w="835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“Could this event type represent the CSG operation we observed?”</w:t>
            </w:r>
          </w:p>
        </w:tc>
      </w:tr>
      <w:tr>
        <w:tc>
          <w:tcPr>
            <w:tcW w:type="dxa" w:w="201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Transition values</w:t>
            </w:r>
          </w:p>
        </w:tc>
        <w:tc>
          <w:tcPr>
            <w:tcW w:type="dxa" w:w="835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 old and new values agree with the observed direction?”</w:t>
            </w:r>
          </w:p>
        </w:tc>
      </w:tr>
      <w:tr>
        <w:tc>
          <w:tcPr>
            <w:tcW w:type="dxa" w:w="201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Time boundary</w:t>
            </w:r>
          </w:p>
        </w:tc>
        <w:tc>
          <w:tcPr>
            <w:tcW w:type="dxa" w:w="835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“Does the timestamp fall inside the case’s observation window?”</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5E9C9"/>
            <w:tcMar>
              <w:top w:w="140" w:type="dxa"/>
              <w:start w:w="180" w:type="dxa"/>
              <w:bottom w:w="140" w:type="dxa"/>
              <w:end w:w="180" w:type="dxa"/>
            </w:tcMar>
          </w:tcPr>
          <w:p>
            <w:pPr>
              <w:spacing w:after="0"/>
            </w:pPr>
            <w:r>
              <w:rPr>
                <w:rFonts w:ascii="Aptos" w:hAnsi="Aptos"/>
                <w:b/>
                <w:color w:val="9A6B13"/>
                <w:sz w:val="16"/>
              </w:rPr>
              <w:t xml:space="preserve">USEFUL RESPONSE TO A TEMPTING RESULT  </w:t>
            </w:r>
            <w:r>
              <w:rPr>
                <w:rFonts w:ascii="Aptos" w:hAnsi="Aptos"/>
                <w:color w:val="20343B"/>
                <w:sz w:val="16"/>
              </w:rPr>
              <w:t>“That is a good search lead. Which field would turn it into supporting evidence? Which field, if any, rules it out?”</w:t>
            </w:r>
          </w:p>
        </w:tc>
      </w:tr>
    </w:tbl>
    <w:p>
      <w:pPr>
        <w:spacing w:after="0"/>
      </w:pPr>
    </w:p>
    <w:p>
      <w:pPr>
        <w:pStyle w:val="Heading2"/>
        <w:keepNext/>
      </w:pPr>
      <w:r>
        <w:t>Stage 4 · Reconcile</w:t>
      </w:r>
    </w:p>
    <w:p>
      <w:pPr>
        <w:pStyle w:val="ListNumber"/>
        <w:spacing w:after="60"/>
      </w:pPr>
      <w:r>
        <w:t>Select the named investigation item. Read its CSG transition or Snapshot Delta and the relevant boundary again.</w:t>
      </w:r>
    </w:p>
    <w:p>
      <w:pPr>
        <w:pStyle w:val="ListNumber"/>
        <w:spacing w:after="60"/>
      </w:pPr>
      <w:r>
        <w:t>Return to Wazuh and collect only the valid record or records for that item. Verify the tray count and remove any distractor before continuing.</w:t>
      </w:r>
    </w:p>
    <w:p>
      <w:pPr>
        <w:pStyle w:val="ListNumber"/>
        <w:spacing w:after="60"/>
      </w:pPr>
      <w:r>
        <w:t>Choose the classification. Use the status descriptions in the UI; then explain both the state evidence and how the process/script connects the finding to the threat. A script command is intent evidence, not proof that the requested change succeeded.</w:t>
      </w:r>
    </w:p>
    <w:p>
      <w:pPr>
        <w:pStyle w:val="ListNumber"/>
        <w:spacing w:after="60"/>
      </w:pPr>
      <w:r>
        <w:t>Write a reasoned explanation. Require the host, object, operation or before/after state, observation interval, and why the selected Wazuh evidence does or does not support the CSG record.</w:t>
      </w:r>
    </w:p>
    <w:p>
      <w:pPr>
        <w:pStyle w:val="ListNumber"/>
        <w:spacing w:after="60"/>
      </w:pPr>
      <w:r>
        <w:t>Pause before Submit. Submission reveals the expected answer and locks the submitted item in the interface. Afterward, read the evidence review and learning note rather than immediately advancing.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Classification</w:t>
            </w:r>
          </w:p>
        </w:tc>
        <w:tc>
          <w:tcPr>
            <w:tcW w:type="dxa" w:w="7776"/>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Teach it as</w:t>
            </w:r>
          </w:p>
        </w:tc>
      </w:tr>
      <w:tr>
        <w:tc>
          <w:tcPr>
            <w:tcW w:type="dxa" w:w="259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777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The selected Wazuh records support the CSG observation with matching identity and operation.</w:t>
            </w:r>
          </w:p>
        </w:tc>
      </w:tr>
      <w:tr>
        <w:tc>
          <w:tcPr>
            <w:tcW w:type="dxa" w:w="259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PARTIALLY_EXPLAINED</w:t>
            </w:r>
          </w:p>
        </w:tc>
        <w:tc>
          <w:tcPr>
            <w:tcW w:type="dxa" w:w="777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Wazuh supports part of the observed transition history, while a required part is missing.</w:t>
            </w:r>
          </w:p>
        </w:tc>
      </w:tr>
      <w:tr>
        <w:tc>
          <w:tcPr>
            <w:tcW w:type="dxa" w:w="259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UNEXPLAINED</w:t>
            </w:r>
          </w:p>
        </w:tc>
        <w:tc>
          <w:tcPr>
            <w:tcW w:type="dxa" w:w="777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No sufficient matching Wazuh event was found for the CSG observation. This describes a telemetry gap.</w:t>
            </w:r>
          </w:p>
        </w:tc>
      </w:tr>
      <w:tr>
        <w:tc>
          <w:tcPr>
            <w:tcW w:type="dxa" w:w="259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CONTRADICTED</w:t>
            </w:r>
          </w:p>
        </w:tc>
        <w:tc>
          <w:tcPr>
            <w:tcW w:type="dxa" w:w="777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Same context, but the event evidence reports an incompatible transition.</w:t>
            </w:r>
          </w:p>
        </w:tc>
      </w:tr>
      <w:tr>
        <w:tc>
          <w:tcPr>
            <w:tcW w:type="dxa" w:w="259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INSUFFICIENT_EVIDENCE</w:t>
            </w:r>
          </w:p>
        </w:tc>
        <w:tc>
          <w:tcPr>
            <w:tcW w:type="dxa" w:w="777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The available evidence or its quality does not allow a reliable reconciliation.</w:t>
            </w:r>
          </w:p>
        </w:tc>
      </w:tr>
    </w:tbl>
    <w:p>
      <w:pPr>
        <w:spacing w:after="0"/>
      </w:pPr>
    </w:p>
    <w:p>
      <w:pPr>
        <w:pStyle w:val="Heading1"/>
        <w:keepNext/>
      </w:pPr>
      <w:r>
        <w:t>4. Walkthrough cases and answer key</w:t>
      </w:r>
    </w:p>
    <w:p>
      <w:pPr>
        <w:pStyle w:val="Heading2"/>
        <w:keepNext/>
      </w:pPr>
      <w:r>
        <w:t>Case 1 · The Expected Service</w:t>
      </w:r>
    </w:p>
    <w:p>
      <w:pPr>
        <w:spacing w:after="80"/>
      </w:pPr>
      <w:r>
        <w:rPr>
          <w:b/>
          <w:color w:val="148C82"/>
          <w:sz w:val="16"/>
        </w:rPr>
        <w:t xml:space="preserve">TEACHING PURPOSE  </w:t>
      </w:r>
      <w:r>
        <w:t>Establish the basic durable ADD pattern and model a successful exact match.</w:t>
      </w:r>
    </w:p>
    <w:p>
      <w:pPr>
        <w:spacing w:after="80"/>
      </w:pPr>
      <w:r>
        <w:rPr>
          <w:b/>
          <w:color w:val="148C82"/>
          <w:sz w:val="16"/>
        </w:rPr>
        <w:t xml:space="preserve">SHOW  </w:t>
      </w:r>
      <w:r>
        <w:t>In CSG State, locate the service in Snapshot A and Snapshot B. It is absent in A and present in B with Automatic startup. Point to its expected program path.</w:t>
      </w:r>
    </w:p>
    <w:tbl>
      <w:tblPr>
        <w:tblW w:type="auto" w:w="0"/>
        <w:jc w:val="center"/>
        <w:tblLook w:firstColumn="1" w:firstRow="1" w:lastColumn="0" w:lastRow="0" w:noHBand="0" w:noVBand="1" w:val="04A0"/>
      </w:tblPr>
      <w:tblGrid>
        <w:gridCol w:w="9994"/>
      </w:tblGrid>
      <w:tr>
        <w:tc>
          <w:tcPr>
            <w:tcW w:type="dxa" w:w="9994"/>
            <w:shd w:fill="17313B"/>
            <w:tcMar>
              <w:top w:w="160" w:type="dxa"/>
              <w:start w:w="190" w:type="dxa"/>
              <w:bottom w:w="160" w:type="dxa"/>
              <w:end w:w="190" w:type="dxa"/>
            </w:tcMar>
          </w:tcPr>
          <w:p>
            <w:pPr>
              <w:spacing w:after="0"/>
            </w:pPr>
            <w:r>
              <w:rPr>
                <w:rFonts w:ascii="Aptos" w:hAnsi="Aptos"/>
                <w:sz w:val="16"/>
              </w:rPr>
              <w:t>SAY  “The snapshots establish that this service persisted by Snapshot B. First find its exact 7045 creation record. Then trace the same image and child PowerShell process; use 4104 to inspect the service command and malicious behavior.”</w:t>
            </w:r>
          </w:p>
        </w:tc>
      </w:tr>
    </w:tbl>
    <w:p>
      <w:pPr>
        <w:spacing w:after="0"/>
      </w:pPr>
    </w:p>
    <w:p>
      <w:pPr>
        <w:spacing w:after="80"/>
      </w:pPr>
      <w:r>
        <w:rPr>
          <w:b/>
          <w:color w:val="148C82"/>
          <w:sz w:val="16"/>
        </w:rPr>
        <w:t xml:space="preserve">DEMONSTRATE  </w:t>
      </w:r>
      <w:r>
        <w:t>Use the student’s host and service name. The Variant A example is:</w:t>
      </w:r>
    </w:p>
    <w:tbl>
      <w:tblPr>
        <w:tblW w:type="auto" w:w="0"/>
        <w:jc w:val="center"/>
        <w:tblLook w:firstColumn="1" w:firstRow="1" w:lastColumn="0" w:lastRow="0" w:noHBand="0" w:noVBand="1" w:val="04A0"/>
      </w:tblPr>
      <w:tblGrid>
        <w:gridCol w:w="9994"/>
      </w:tblGrid>
      <w:tr>
        <w:tc>
          <w:tcPr>
            <w:tcW w:type="dxa" w:w="9994"/>
            <w:shd w:fill="EEF2F3"/>
            <w:tcMar>
              <w:top w:w="120" w:type="dxa"/>
              <w:start w:w="160" w:type="dxa"/>
              <w:bottom w:w="120" w:type="dxa"/>
              <w:end w:w="160" w:type="dxa"/>
            </w:tcMar>
          </w:tcPr>
          <w:p>
            <w:pPr>
              <w:spacing w:after="0"/>
            </w:pPr>
            <w:r>
              <w:rPr>
                <w:rFonts w:ascii="Aptos" w:hAnsi="Aptos"/>
                <w:sz w:val="16"/>
              </w:rPr>
              <w:t>event.id:7045 AND host.name:WIN-LAB-01 AND service.name:"BackupAgent"</w:t>
              <w:br/>
              <w:t>event.id:4104 AND BackupAgent</w:t>
            </w:r>
          </w:p>
        </w:tc>
      </w:tr>
    </w:tbl>
    <w:p>
      <w:pPr>
        <w:spacing w:after="0"/>
      </w:pPr>
    </w:p>
    <w:p>
      <w:pPr>
        <w:spacing w:after="80"/>
      </w:pPr>
      <w:r>
        <w:rPr>
          <w:b/>
          <w:color w:val="148C82"/>
          <w:sz w:val="16"/>
        </w:rPr>
        <w:t xml:space="preserve">INSPECT  </w:t>
      </w:r>
      <w:r>
        <w:t>Open the matching 7045 service_created record. Compare exact host, service name, timestamp, and program path. Explain that a service-modified event would not be equivalent to a creation record.</w:t>
      </w:r>
    </w:p>
    <w:p>
      <w:pPr>
        <w:spacing w:after="80"/>
      </w:pPr>
      <w:r>
        <w:rPr>
          <w:b/>
          <w:color w:val="148C82"/>
          <w:sz w:val="16"/>
        </w:rPr>
        <w:t xml:space="preserve">ASK  </w:t>
      </w:r>
      <w:r>
        <w:t>“What makes this record stronger than another service event from the same minute?”</w:t>
      </w:r>
    </w:p>
    <w:p>
      <w:pPr>
        <w:spacing w:after="80"/>
      </w:pPr>
      <w:r>
        <w:rPr>
          <w:b/>
          <w:color w:val="148C82"/>
          <w:sz w:val="16"/>
        </w:rPr>
        <w:t xml:space="preserve">EXPECTED ANSWER  </w:t>
      </w:r>
      <w:r>
        <w:t>It is on the exact host, names the exact service, represents creation (7045), has a compatible program path, and is inside the interval.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Reconcile item</w:t>
            </w:r>
          </w:p>
        </w:tc>
        <w:tc>
          <w:tcPr>
            <w:tcW w:type="dxa" w:w="792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Answer</w:t>
            </w:r>
          </w:p>
        </w:tc>
      </w:tr>
      <w:tr>
        <w:tc>
          <w:tcPr>
            <w:tcW w:type="dxa" w:w="244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Expected service addition</w:t>
            </w:r>
          </w:p>
        </w:tc>
        <w:tc>
          <w:tcPr>
            <w:tcW w:type="dxa" w:w="792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r>
      <w:tr>
        <w:tc>
          <w:tcPr>
            <w:tcW w:type="dxa" w:w="244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Wazuh tray</w:t>
            </w:r>
          </w:p>
        </w:tc>
        <w:tc>
          <w:tcPr>
            <w:tcW w:type="dxa" w:w="7920"/>
            <w:shd w:fill="F2F6F6"/>
            <w:vAlign w:val="center"/>
            <w:tcMar>
              <w:top w:w="100" w:type="dxa"/>
              <w:start w:w="130" w:type="dxa"/>
              <w:bottom w:w="100" w:type="dxa"/>
              <w:end w:w="130" w:type="dxa"/>
            </w:tcMar>
          </w:tcPr>
          <w:p>
            <w:pPr>
              <w:spacing w:after="0"/>
            </w:pPr>
            <w:r>
              <w:rPr>
                <w:rFonts w:ascii="Aptos" w:hAnsi="Aptos"/>
                <w:sz w:val="16"/>
              </w:rPr>
              <w:t>Two linked records: exact 7045 service_created plus the 4104 script block naming the service.</w:t>
            </w:r>
          </w:p>
        </w:tc>
      </w:tr>
      <w:tr>
        <w:tc>
          <w:tcPr>
            <w:tcW w:type="dxa" w:w="244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Model explanation</w:t>
            </w:r>
          </w:p>
        </w:tc>
        <w:tc>
          <w:tcPr>
            <w:tcW w:type="dxa" w:w="7920"/>
            <w:shd w:fill="FFFFFF"/>
            <w:vAlign w:val="center"/>
            <w:tcMar>
              <w:top w:w="100" w:type="dxa"/>
              <w:start w:w="130" w:type="dxa"/>
              <w:bottom w:w="100" w:type="dxa"/>
              <w:end w:w="130" w:type="dxa"/>
            </w:tcMar>
          </w:tcPr>
          <w:p>
            <w:pPr>
              <w:spacing w:after="0"/>
            </w:pPr>
            <w:r>
              <w:rPr>
                <w:rFonts w:ascii="Aptos" w:hAnsi="Aptos"/>
                <w:sz w:val="16"/>
              </w:rPr>
              <w:t>“The service is absent in Snapshot A and present in Snapshot B. Event 7045 names this service on [host] with the matching path. Sysmon then shows the same image launching PowerShell; 4104 names the service in a startup command and records Defender disablement and data staging. The install is directly supported and linked to malicious activity.”</w:t>
            </w:r>
          </w:p>
        </w:tc>
      </w:tr>
    </w:tbl>
    <w:p>
      <w:pPr>
        <w:spacing w:after="0"/>
      </w:pPr>
    </w:p>
    <w:p>
      <w:pPr>
        <w:spacing w:after="80"/>
      </w:pPr>
      <w:r>
        <w:rPr>
          <w:b/>
          <w:color w:val="148C82"/>
          <w:sz w:val="16"/>
        </w:rPr>
        <w:t xml:space="preserve">DEBRIEF  </w:t>
      </w:r>
      <w:r>
        <w:t>“The timestamp helped us find the candidate. Host, object, operation, and path made it relevant.”</w:t>
      </w:r>
    </w:p>
    <w:p>
      <w:pPr>
        <w:pStyle w:val="Heading2"/>
        <w:keepNext/>
      </w:pPr>
      <w:r>
        <w:t>Case 2 · The Missing Service Event</w:t>
      </w:r>
    </w:p>
    <w:p>
      <w:pPr>
        <w:spacing w:after="80"/>
      </w:pPr>
      <w:r>
        <w:t>TEACHING PURPOSE  Reconstruct an intentional collection gap. Students correlate the ordered stop/config/start script and forwarder state records, then explain why the absent 7040 remains a telemetry limitation.</w:t>
      </w:r>
    </w:p>
    <w:p>
      <w:pPr>
        <w:spacing w:after="80"/>
      </w:pPr>
      <w:r>
        <w:t>SHOW  In CSG State, expand Snapshot Delta. CSG establishes Manual in Snapshot A and Automatic in Snapshot B, but it supplies no exact change time or actor in this case. The CSG State Change Timeline is empty here; the Wazuh records must be assessed separately.</w:t>
      </w:r>
    </w:p>
    <w:p>
      <w:pPr>
        <w:spacing w:after="80"/>
      </w:pPr>
      <w:r>
        <w:rPr>
          <w:b/>
          <w:color w:val="148C82"/>
          <w:sz w:val="16"/>
        </w:rPr>
        <w:t xml:space="preserve">SEARCH  </w:t>
      </w:r>
      <w:r>
        <w:t>Use the exact service and host, then filter to event ID 7040. Variant A example:</w:t>
      </w:r>
    </w:p>
    <w:tbl>
      <w:tblPr>
        <w:tblW w:type="auto" w:w="0"/>
        <w:jc w:val="center"/>
        <w:tblLook w:firstColumn="1" w:firstRow="1" w:lastColumn="0" w:lastRow="0" w:noHBand="0" w:noVBand="1" w:val="04A0"/>
      </w:tblPr>
      <w:tblGrid>
        <w:gridCol w:w="9994"/>
      </w:tblGrid>
      <w:tr>
        <w:tc>
          <w:tcPr>
            <w:tcW w:type="dxa" w:w="9994"/>
            <w:shd w:fill="EEF2F3"/>
            <w:tcMar>
              <w:top w:w="120" w:type="dxa"/>
              <w:start w:w="160" w:type="dxa"/>
              <w:bottom w:w="120" w:type="dxa"/>
              <w:end w:w="160" w:type="dxa"/>
            </w:tcMar>
          </w:tcPr>
          <w:p>
            <w:r>
              <w:t>host.name:WIN-LAB-01 AND service.name:"UpdateHelper" AND event.id:7040</w:t>
              <w:br/>
              <w:t>host.name:WIN-LAB-01 AND service.name:"CsgTelemetryForwarder" AND event.id:7036</w:t>
              <w:br/>
              <w:t>host.name:WIN-LAB-01 AND event.id:4104 AND UpdateHelper</w:t>
            </w:r>
          </w:p>
        </w:tc>
      </w:tr>
    </w:tbl>
    <w:p>
      <w:pPr>
        <w:spacing w:after="0"/>
      </w:pPr>
    </w:p>
    <w:p>
      <w:pPr>
        <w:spacing w:after="80"/>
      </w:pPr>
      <w:r>
        <w:t>INSPECT  Reject the same-service 7040 because it reports Automatic → Disabled. Open both 4104 records: one only queries the service; the other records stop → config → start. Event 7036 shows the forwarder stopped at 09:51:26Z and running at 09:51:33Z. Defender, archive, and outbound-connection events follow the recovery.</w:t>
      </w:r>
    </w:p>
    <w:tbl>
      <w:tblPr>
        <w:tblW w:type="auto" w:w="0"/>
        <w:jc w:val="center"/>
        <w:tblLook w:firstColumn="1" w:firstRow="1" w:lastColumn="0" w:lastRow="0" w:noHBand="0" w:noVBand="1" w:val="04A0"/>
      </w:tblPr>
      <w:tblGrid>
        <w:gridCol w:w="9994"/>
      </w:tblGrid>
      <w:tr>
        <w:tc>
          <w:tcPr>
            <w:tcW w:type="dxa" w:w="9994"/>
            <w:shd w:fill="17313B"/>
            <w:tcMar>
              <w:top w:w="160" w:type="dxa"/>
              <w:start w:w="190" w:type="dxa"/>
              <w:bottom w:w="160" w:type="dxa"/>
              <w:end w:w="190" w:type="dxa"/>
            </w:tcMar>
          </w:tcPr>
          <w:p>
            <w:pPr>
              <w:spacing w:after="0"/>
            </w:pPr>
            <w:r>
              <w:t>SAY  “The same-service 7040 has the wrong direction. The ordered 4104 block stops CsgTelemetryForwarder, requests UpdateHelper Automatic, and starts forwarding again. Event 7036 records Stopped at 09:51:26Z and Running at 09:51:33Z. Defender, archive, and network events follow. The sequence supports a deliberate collection gap, but the absent 7040 means we cannot prove the config succeeded.”</w:t>
            </w:r>
          </w:p>
        </w:tc>
      </w:tr>
    </w:tbl>
    <w:p>
      <w:pPr>
        <w:spacing w:after="0"/>
      </w:pPr>
    </w:p>
    <w:p>
      <w:pPr>
        <w:spacing w:after="80"/>
      </w:pPr>
      <w:r>
        <w:rPr>
          <w:b/>
          <w:color w:val="148C82"/>
          <w:sz w:val="16"/>
        </w:rPr>
        <w:t xml:space="preserve">ASK  </w:t>
      </w:r>
      <w:r>
        <w:t>“Would you collect this event because the service name matches? What is the decisive mismatch?”</w:t>
      </w:r>
    </w:p>
    <w:p>
      <w:pPr>
        <w:spacing w:after="80"/>
      </w:pPr>
      <w:r>
        <w:rPr>
          <w:b/>
          <w:color w:val="148C82"/>
          <w:sz w:val="16"/>
        </w:rPr>
      </w:r>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Reconcile item</w:t>
            </w:r>
          </w:p>
        </w:tc>
        <w:tc>
          <w:tcPr>
            <w:tcW w:type="dxa" w:w="792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Answer</w:t>
            </w:r>
          </w:p>
        </w:tc>
      </w:tr>
      <w:tr>
        <w:tc>
          <w:tcPr>
            <w:tcW w:type="dxa" w:w="244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Missing service event</w:t>
            </w:r>
          </w:p>
        </w:tc>
        <w:tc>
          <w:tcPr>
            <w:tcW w:type="dxa" w:w="7920"/>
            <w:shd w:fill="FFFFFF"/>
            <w:vAlign w:val="center"/>
            <w:tcMar>
              <w:top w:w="100" w:type="dxa"/>
              <w:start w:w="130" w:type="dxa"/>
              <w:bottom w:w="100" w:type="dxa"/>
              <w:end w:w="130" w:type="dxa"/>
            </w:tcMar>
          </w:tcPr>
          <w:p>
            <w:pPr>
              <w:spacing w:after="0"/>
            </w:pPr>
            <w:r>
              <w:rPr>
                <w:rFonts w:ascii="Aptos" w:hAnsi="Aptos"/>
                <w:sz w:val="16"/>
              </w:rPr>
              <w:t>PARTIALLY_EXPLAINED</w:t>
            </w:r>
          </w:p>
        </w:tc>
      </w:tr>
      <w:tr>
        <w:tc>
          <w:tcPr>
            <w:tcW w:type="dxa" w:w="244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Wazuh tray</w:t>
            </w:r>
          </w:p>
        </w:tc>
        <w:tc>
          <w:tcPr>
            <w:tcW w:type="dxa" w:w="7920"/>
            <w:shd w:fill="F2F6F6"/>
            <w:vAlign w:val="center"/>
            <w:tcMar>
              <w:top w:w="100" w:type="dxa"/>
              <w:start w:w="130" w:type="dxa"/>
              <w:bottom w:w="100" w:type="dxa"/>
              <w:end w:w="130" w:type="dxa"/>
            </w:tcMar>
          </w:tcPr>
          <w:p>
            <w:r>
              <w:t>Collect the ordered PowerShell 4104 block and both same-host 7036 records for forwarder stop and recovery. Reject the read-only 4104, wrong-direction 7040, and wrong-host 7040.</w:t>
            </w:r>
          </w:p>
        </w:tc>
      </w:tr>
      <w:tr>
        <w:tc>
          <w:tcPr>
            <w:tcW w:type="dxa" w:w="244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Model explanation</w:t>
            </w:r>
          </w:p>
        </w:tc>
        <w:tc>
          <w:tcPr>
            <w:tcW w:type="dxa" w:w="7920"/>
            <w:shd w:fill="FFFFFF"/>
            <w:vAlign w:val="center"/>
            <w:tcMar>
              <w:top w:w="100" w:type="dxa"/>
              <w:start w:w="130" w:type="dxa"/>
              <w:bottom w:w="100" w:type="dxa"/>
              <w:end w:w="130" w:type="dxa"/>
            </w:tcMar>
          </w:tcPr>
          <w:p>
            <w:r>
              <w:t>“CSG shows [service] changing Manual to Automatic. The malicious script records a forwarder stop, the exact service configuration request, and forwarder restart. Event 7036 brackets the gap; later Defender, archive, and network records expose follow-on activity. No matching 7040 confirms execution or causation, so classify PARTIALLY_EXPLAINED.”</w:t>
            </w:r>
          </w:p>
        </w:tc>
      </w:tr>
    </w:tbl>
    <w:p>
      <w:pPr>
        <w:spacing w:after="0"/>
      </w:pPr>
    </w:p>
    <w:p>
      <w:pPr>
        <w:pStyle w:val="Heading2"/>
        <w:keepNext/>
      </w:pPr>
      <w:r>
        <w:t>Case 3 · Between the Snapshots</w:t>
      </w:r>
    </w:p>
    <w:p>
      <w:pPr>
        <w:spacing w:after="80"/>
      </w:pPr>
      <w:r>
        <w:rPr>
          <w:b/>
          <w:color w:val="148C82"/>
          <w:sz w:val="16"/>
        </w:rPr>
      </w:r>
      <w:r/>
    </w:p>
    <w:p>
      <w:pPr>
        <w:spacing w:after="80"/>
      </w:pPr>
      <w:r>
        <w:rPr>
          <w:b/>
          <w:color w:val="148C82"/>
          <w:sz w:val="16"/>
        </w:rPr>
      </w:r>
      <w:r/>
    </w:p>
    <w:tbl>
      <w:tblPr>
        <w:tblW w:type="auto" w:w="0"/>
        <w:jc w:val="center"/>
        <w:tblLook w:firstColumn="1" w:firstRow="1" w:lastColumn="0" w:lastRow="0" w:noHBand="0" w:noVBand="1" w:val="04A0"/>
      </w:tblPr>
      <w:tblGrid>
        <w:gridCol w:w="9994"/>
      </w:tblGrid>
      <w:tr>
        <w:tc>
          <w:tcPr>
            <w:tcW w:type="dxa" w:w="9994"/>
            <w:shd w:fill="17313B"/>
            <w:tcMar>
              <w:top w:w="160" w:type="dxa"/>
              <w:start w:w="190" w:type="dxa"/>
              <w:bottom w:w="160" w:type="dxa"/>
              <w:end w:w="190" w:type="dxa"/>
            </w:tcMar>
          </w:tcPr>
          <w:p>
            <w:pPr>
              <w:spacing w:after="0"/>
            </w:pPr>
            <w:r>
              <w:rPr>
                <w:rFonts w:ascii="Aptos" w:hAnsi="Aptos"/>
                <w:sz w:val="16"/>
              </w:rPr>
              <w:t>SAY  “Reconcile each CSG item in its own evidence tray. Then follow the shared image and process ancestry to connect the exact task action and malicious script.”</w:t>
            </w:r>
          </w:p>
        </w:tc>
      </w:tr>
    </w:tbl>
    <w:p>
      <w:pPr>
        <w:spacing w:after="0"/>
      </w:pPr>
    </w:p>
    <w:p>
      <w:pPr>
        <w:pStyle w:val="Heading3"/>
        <w:keepNext/>
      </w:pPr>
      <w:r>
        <w:t>Item 1 · Service cycle</w:t>
      </w:r>
    </w:p>
    <w:tbl>
      <w:tblPr>
        <w:tblW w:type="auto" w:w="0"/>
        <w:jc w:val="center"/>
        <w:tblLook w:firstColumn="1" w:firstRow="1" w:lastColumn="0" w:lastRow="0" w:noHBand="0" w:noVBand="1" w:val="04A0"/>
      </w:tblPr>
      <w:tblGrid>
        <w:gridCol w:w="9994"/>
      </w:tblGrid>
      <w:tr>
        <w:tc>
          <w:tcPr>
            <w:tcW w:type="dxa" w:w="9994"/>
            <w:shd w:fill="EEF2F3"/>
            <w:tcMar>
              <w:top w:w="120" w:type="dxa"/>
              <w:start w:w="160" w:type="dxa"/>
              <w:bottom w:w="120" w:type="dxa"/>
              <w:end w:w="160" w:type="dxa"/>
            </w:tcMar>
          </w:tcPr>
          <w:p>
            <w:pPr>
              <w:spacing w:after="0"/>
            </w:pPr>
            <w:r>
              <w:rPr>
                <w:rFonts w:ascii="Aptos" w:hAnsi="Aptos"/>
                <w:sz w:val="16"/>
              </w:rPr>
            </w:r>
            <w:r>
              <w:rPr>
                <w:rFonts w:ascii="Aptos" w:hAnsi="Aptos"/>
                <w:color w:val="17313B"/>
                <w:sz w:val="16"/>
              </w:rPr>
              <w:t>host.name:WIN-LAB-01 AND service.name:"DeviceHealthSvc" AND event.id:7040</w:t>
            </w:r>
          </w:p>
        </w:tc>
      </w:tr>
    </w:tbl>
    <w:p>
      <w:pPr>
        <w:spacing w:after="0"/>
      </w:pPr>
    </w:p>
    <w:p>
      <w:pPr>
        <w:spacing w:after="100"/>
      </w:pPr>
      <w:r>
        <w:rPr>
          <w:i w:val="0"/>
        </w:rPr>
        <w:t>Collect both matching 7040 service_modified events. Verify Manual → Automatic and Automatic → Manual, exact host, and exact service. A single matching event does not cover the full cycle.</w:t>
      </w:r>
    </w:p>
    <w:p>
      <w:pPr>
        <w:pStyle w:val="Heading3"/>
        <w:keepNext/>
      </w:pPr>
      <w:r>
        <w:t>Item 2 · Short-lived process</w:t>
      </w:r>
    </w:p>
    <w:tbl>
      <w:tblPr>
        <w:tblW w:type="auto" w:w="0"/>
        <w:jc w:val="center"/>
        <w:tblLook w:firstColumn="1" w:firstRow="1" w:lastColumn="0" w:lastRow="0" w:noHBand="0" w:noVBand="1" w:val="04A0"/>
      </w:tblPr>
      <w:tblGrid>
        <w:gridCol w:w="9994"/>
      </w:tblGrid>
      <w:tr>
        <w:tc>
          <w:tcPr>
            <w:tcW w:type="dxa" w:w="9994"/>
            <w:shd w:fill="EEF2F3"/>
            <w:tcMar>
              <w:top w:w="120" w:type="dxa"/>
              <w:start w:w="160" w:type="dxa"/>
              <w:bottom w:w="120" w:type="dxa"/>
              <w:end w:w="160" w:type="dxa"/>
            </w:tcMar>
          </w:tcPr>
          <w:p>
            <w:pPr>
              <w:spacing w:after="0"/>
            </w:pPr>
            <w:r>
              <w:rPr>
                <w:rFonts w:ascii="Aptos" w:hAnsi="Aptos"/>
                <w:sz w:val="16"/>
              </w:rPr>
            </w:r>
            <w:r>
              <w:rPr>
                <w:rFonts w:ascii="Aptos" w:hAnsi="Aptos"/>
                <w:color w:val="17313B"/>
                <w:sz w:val="16"/>
              </w:rPr>
              <w:t>host.name:WIN-LAB-01 AND process.pid:4160 AND event.id:1</w:t>
              <w:br/>
              <w:t>host.name:WIN-LAB-01 AND process.pid:4160 AND event.id:5</w:t>
            </w:r>
          </w:p>
        </w:tc>
      </w:tr>
    </w:tbl>
    <w:p>
      <w:pPr>
        <w:spacing w:after="0"/>
      </w:pPr>
    </w:p>
    <w:p>
      <w:pPr>
        <w:spacing w:after="100"/>
      </w:pPr>
      <w:r>
        <w:rPr>
          <w:i w:val="0"/>
        </w:rPr>
        <w:t>Collect Sysmon 1 and Sysmon 5 as a pair. Check exact PID, process image, parent, host, and lifecycle direction. A nearby process with a different PID is not the CSG process.</w:t>
      </w:r>
    </w:p>
    <w:p>
      <w:pPr>
        <w:pStyle w:val="Heading3"/>
        <w:keepNext/>
      </w:pPr>
      <w:r>
        <w:t>Item 3 · Scheduled task</w:t>
      </w:r>
    </w:p>
    <w:tbl>
      <w:tblPr>
        <w:tblW w:type="auto" w:w="0"/>
        <w:jc w:val="center"/>
        <w:tblLook w:firstColumn="1" w:firstRow="1" w:lastColumn="0" w:lastRow="0" w:noHBand="0" w:noVBand="1" w:val="04A0"/>
      </w:tblPr>
      <w:tblGrid>
        <w:gridCol w:w="9994"/>
      </w:tblGrid>
      <w:tr>
        <w:tc>
          <w:tcPr>
            <w:tcW w:type="dxa" w:w="9994"/>
            <w:shd w:fill="EEF2F3"/>
            <w:tcMar>
              <w:top w:w="120" w:type="dxa"/>
              <w:start w:w="160" w:type="dxa"/>
              <w:bottom w:w="120" w:type="dxa"/>
              <w:end w:w="160" w:type="dxa"/>
            </w:tcMar>
          </w:tcPr>
          <w:p>
            <w:pPr>
              <w:spacing w:after="0"/>
            </w:pPr>
            <w:r>
              <w:rPr>
                <w:rFonts w:ascii="Aptos" w:hAnsi="Aptos"/>
                <w:sz w:val="16"/>
              </w:rPr>
              <w:t>host.name:WIN-LAB-01 AND task.name:"\Microsoft\Windows\DeviceHealth\CacheRefresh" AND event.id:106</w:t>
              <w:br/>
              <w:t>event.id:4104 AND CacheRefresh</w:t>
            </w:r>
          </w:p>
        </w:tc>
      </w:tr>
    </w:tbl>
    <w:p>
      <w:pPr>
        <w:spacing w:after="0"/>
      </w:pPr>
    </w:p>
    <w:p>
      <w:pPr>
        <w:spacing w:after="100"/>
      </w:pPr>
      <w:r>
        <w:t>Collect the exact Task Scheduler 106 record and the PowerShell 4104 script block. Match the task name and action across both; the script also exposes Defender disablement and data staging in the same process chain.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Item</w:t>
            </w:r>
          </w:p>
        </w:tc>
        <w:tc>
          <w:tcPr>
            <w:tcW w:type="dxa" w:w="208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Classification</w:t>
            </w:r>
          </w:p>
        </w:tc>
        <w:tc>
          <w:tcPr>
            <w:tcW w:type="dxa" w:w="540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Required tray</w:t>
            </w:r>
          </w:p>
        </w:tc>
      </w:tr>
      <w:tr>
        <w:tc>
          <w:tcPr>
            <w:tcW w:type="dxa" w:w="288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Temporary service reconfiguration</w:t>
            </w:r>
          </w:p>
        </w:tc>
        <w:tc>
          <w:tcPr>
            <w:tcW w:type="dxa" w:w="2088"/>
            <w:shd w:fill="FFFFFF"/>
            <w:vAlign w:val="center"/>
            <w:tcMar>
              <w:top w:w="100" w:type="dxa"/>
              <w:start w:w="130" w:type="dxa"/>
              <w:bottom w:w="100" w:type="dxa"/>
              <w:end w:w="130" w:type="dxa"/>
            </w:tcMar>
          </w:tcPr>
          <w:p>
            <w:pPr>
              <w:spacing w:after="0"/>
            </w:pPr>
            <w:r>
              <w:rPr>
                <w:rFonts w:ascii="Aptos" w:hAnsi="Aptos"/>
                <w:sz w:val="16"/>
              </w:rPr>
              <w:t>Manual → Automatic → Manual; the service start type returned to its earlier value.</w:t>
            </w:r>
          </w:p>
        </w:tc>
        <w:tc>
          <w:tcPr>
            <w:tcW w:type="dxa" w:w="540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Both exact 7040 service modifications.</w:t>
            </w:r>
          </w:p>
        </w:tc>
      </w:tr>
      <w:tr>
        <w:tc>
          <w:tcPr>
            <w:tcW w:type="dxa" w:w="288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Short-lived process lifecycle</w:t>
            </w:r>
          </w:p>
        </w:tc>
        <w:tc>
          <w:tcPr>
            <w:tcW w:type="dxa" w:w="208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40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Sysmon 1 start and Sysmon 5 exit for the exact process/PID/path/parent.</w:t>
            </w:r>
          </w:p>
        </w:tc>
      </w:tr>
      <w:tr>
        <w:tc>
          <w:tcPr>
            <w:tcW w:type="dxa" w:w="288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Scheduled task persists</w:t>
            </w:r>
          </w:p>
        </w:tc>
        <w:tc>
          <w:tcPr>
            <w:tcW w:type="dxa" w:w="208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400"/>
            <w:shd w:fill="FFFFFF"/>
            <w:vAlign w:val="center"/>
            <w:tcMar>
              <w:top w:w="100" w:type="dxa"/>
              <w:start w:w="130" w:type="dxa"/>
              <w:bottom w:w="100" w:type="dxa"/>
              <w:end w:w="130" w:type="dxa"/>
            </w:tcMar>
          </w:tcPr>
          <w:p>
            <w:pPr>
              <w:spacing w:after="0"/>
            </w:pPr>
            <w:r>
              <w:rPr>
                <w:rFonts w:ascii="Aptos" w:hAnsi="Aptos"/>
                <w:sz w:val="16"/>
              </w:rPr>
              <w:t>Task Scheduler 106 for the exact task/action plus PowerShell 4104 requesting the same task/action and showing malicious commands.</w:t>
            </w:r>
          </w:p>
        </w:tc>
      </w:tr>
    </w:tbl>
    <w:p>
      <w:pPr>
        <w:spacing w:after="0"/>
      </w:pPr>
    </w:p>
    <w:p>
      <w:pPr>
        <w:spacing w:after="80"/>
      </w:pPr>
      <w:r>
        <w:rPr>
          <w:b/>
          <w:color w:val="148C82"/>
          <w:sz w:val="16"/>
        </w:rPr>
        <w:t xml:space="preserve">VARIANT A IDENTITY  </w:t>
      </w:r>
      <w:r>
        <w:t>Host WIN-LAB-01; service DeviceHealthSvc; process DeviceHealthCheck.exe; PID 4160; task \Microsoft\Windows\DeviceHealth\CacheRefresh; staged image C:\ProgramData\CsgLab\Stage\DeviceHealthCheck.exe.</w:t>
      </w:r>
    </w:p>
    <w:p>
      <w:pPr>
        <w:spacing w:after="80"/>
      </w:pPr>
      <w:r>
        <w:t>MODEL SYNTHESIS  “The service returned to Manual, so there is no net delta, but CSG retained both changes. CSG also recorded this PID starting and exiting, and the task remains in Snapshot B. Wazuh matches the two service events, process lifecycle, and task registration. Event 4104 requests that exact task/action while its child process disables Defender and stages the SAM hive, linking the persistent task to the malicious chain.”</w:t>
      </w:r>
    </w:p>
    <w:p>
      <w:pPr>
        <w:pStyle w:val="Heading1"/>
        <w:keepNext/>
        <w:pageBreakBefore/>
        <w:spacing w:after="60" w:line="240" w:lineRule="auto"/>
      </w:pPr>
      <w:r>
        <w:t>Case 4 · The Relay Takes Hold</w:t>
      </w:r>
    </w:p>
    <w:p>
      <w:pPr>
        <w:spacing w:after="60" w:line="240" w:lineRule="auto"/>
      </w:pPr>
      <w:r>
        <w:rPr>
          <w:sz w:val="17"/>
        </w:rPr>
      </w:r>
      <w:r>
        <w:rPr>
          <w:b/>
          <w:color w:val="147D78"/>
          <w:sz w:val="17"/>
        </w:rPr>
        <w:t xml:space="preserve">TEACHING PURPOSE  </w:t>
      </w:r>
      <w:r>
        <w:rPr>
          <w:sz w:val="17"/>
        </w:rPr>
        <w:t>Follow a two-stage intrusion across three captures. The first interval establishes a service image; the second reuses its path and process ancestry to add persistence and open a listener.</w:t>
      </w:r>
    </w:p>
    <w:p>
      <w:pPr>
        <w:spacing w:after="60" w:line="240" w:lineRule="auto"/>
      </w:pPr>
      <w:r>
        <w:rPr>
          <w:sz w:val="17"/>
        </w:rPr>
      </w:r>
      <w:r>
        <w:rPr>
          <w:b/>
          <w:color w:val="147D78"/>
          <w:sz w:val="17"/>
        </w:rPr>
        <w:t xml:space="preserve">SHOW  </w:t>
      </w:r>
      <w:r>
        <w:rPr>
          <w:sz w:val="17"/>
        </w:rPr>
        <w:t>Compare Snapshot A and B. Variant A has DeviceCacheSvc Manual→Automatic and CacheHost.exe (PID 7460) by B. Expand the A→B Snapshot Delta and inventory details. Then compare B and C: the hidden CacheHealth task and a second CacheHost.exe process/listener first appear in that interval.</w:t>
      </w:r>
    </w:p>
    <w:p>
      <w:pPr>
        <w:spacing w:after="60" w:line="240" w:lineRule="auto"/>
      </w:pPr>
      <w:r>
        <w:rPr>
          <w:sz w:val="17"/>
        </w:rPr>
      </w:r>
      <w:r>
        <w:rPr>
          <w:b/>
          <w:color w:val="147D78"/>
          <w:sz w:val="17"/>
        </w:rPr>
        <w:t xml:space="preserve">SAY  </w:t>
      </w:r>
      <w:r>
        <w:rPr>
          <w:sz w:val="17"/>
        </w:rPr>
        <w:t>“We have two separate changes that may be one incident. First establish the service image and the process it starts. Then follow the exact path and parent PID into the later PowerShell process. A task action and a listening port only belong to this chain if their identities match.”</w:t>
      </w:r>
    </w:p>
    <w:p>
      <w:pPr>
        <w:spacing w:after="60" w:line="240" w:lineRule="auto"/>
      </w:pPr>
      <w:r>
        <w:rPr>
          <w:sz w:val="17"/>
        </w:rPr>
      </w:r>
      <w:r>
        <w:rPr>
          <w:b/>
          <w:color w:val="147D78"/>
          <w:sz w:val="17"/>
        </w:rPr>
        <w:t xml:space="preserve">STAGE A  </w:t>
      </w:r>
      <w:r>
        <w:rPr>
          <w:sz w:val="17"/>
        </w:rPr>
        <w:t>At 09:39, PowerShell 4104 records `sc.exe config DeviceCacheSvc start= auto; sc.exe start DeviceCacheSvc`. SCM 7040 at 09:39:22Z confirms Manual→Automatic. Sysmon 1 records CacheHost.exe, PID 7460, from the same ProgramData path with services.exe as parent. This is the A→B link.</w:t>
      </w:r>
    </w:p>
    <w:p>
      <w:pPr>
        <w:spacing w:after="60" w:line="240" w:lineRule="auto"/>
      </w:pPr>
      <w:r>
        <w:rPr>
          <w:sz w:val="17"/>
        </w:rPr>
      </w:r>
      <w:r>
        <w:rPr>
          <w:b/>
          <w:color w:val="147D78"/>
          <w:sz w:val="17"/>
        </w:rPr>
        <w:t xml:space="preserve">STAGE B  </w:t>
      </w:r>
      <w:r>
        <w:rPr>
          <w:sz w:val="17"/>
        </w:rPr>
        <w:t>Child PowerShell PID 7480 has parent PID 7460. Its 4104 script at 10:08:50Z requests the hidden `\Microsoft\Windows\Diagnostics\CacheHealth` task with action `CacheHost.exe --serve 8448`, starts that image, disables Defender, archives cache files, and attempts an outbound POST. Task Scheduler 106 records the exact task; Sysmon 1 records listener PID 7520 with parent 7480; Security 5154 records TCP 8448 for PID 7520. Defender 5007, Sysmon 11, and Sysmon 3 follow.</w:t>
      </w:r>
    </w:p>
    <w:p>
      <w:pPr>
        <w:spacing w:after="60" w:line="240" w:lineRule="auto"/>
      </w:pPr>
      <w:r>
        <w:rPr>
          <w:sz w:val="17"/>
        </w:rPr>
      </w:r>
      <w:r>
        <w:rPr>
          <w:b/>
          <w:color w:val="147D78"/>
          <w:sz w:val="17"/>
        </w:rPr>
        <w:t xml:space="preserve">SEARCH  </w:t>
      </w:r>
      <w:r>
        <w:rPr>
          <w:sz w:val="17"/>
        </w:rPr>
        <w:t>Use host and exact fields, not timestamp alone. Example Variant A queries:</w:t>
      </w:r>
    </w:p>
    <w:p>
      <w:pPr>
        <w:spacing w:after="60" w:line="240" w:lineRule="auto"/>
      </w:pPr>
      <w:r>
        <w:rPr>
          <w:sz w:val="17"/>
        </w:rPr>
        <w:t>host.name:WIN-LAB-01 AND service.name:"DeviceCacheSvc" AND event.id:7040</w:t>
        <w:br/>
        <w:t>host.name:WIN-LAB-01 AND process.pid:7460 AND event.id:1</w:t>
        <w:br/>
        <w:t>host.name:WIN-LAB-01 AND task.name:"\Microsoft\Windows\Diagnostics\CacheHealth" AND event.id:106</w:t>
        <w:br/>
        <w:t>host.name:WIN-LAB-01 AND process.pid:7520 AND event.id:1</w:t>
        <w:br/>
        <w:t>host.name:WIN-LAB-01 AND listener.local_port:8448 AND event.id:5154</w:t>
        <w:br/>
        <w:t>event.id:4104 AND CacheHealth</w:t>
      </w:r>
    </w:p>
    <w:p>
      <w:pPr>
        <w:spacing w:after="60" w:line="240" w:lineRule="auto"/>
      </w:pPr>
      <w:r>
        <w:rPr>
          <w:sz w:val="17"/>
        </w:rPr>
      </w:r>
      <w:r>
        <w:rPr>
          <w:b/>
          <w:color w:val="147D78"/>
          <w:sz w:val="17"/>
        </w:rPr>
        <w:t xml:space="preserve">DISTRACTORS  </w:t>
      </w:r>
      <w:r>
        <w:rPr>
          <w:sz w:val="17"/>
        </w:rPr>
        <w:t>The same-service 7040 at 09:39:27Z has the opposite direction. CacheHost.exe PID 7461 appears five seconds after the real service process. At 10:08, another process has the expected listener command and parent but PID 7521; similar task names, a wrong-host exact-name task, and TCP 8448 owned by svchost.exe are nearby. Ask students to compare the transition, host, PID, parent, path, and action.</w:t>
      </w:r>
    </w:p>
    <w:p>
      <w:pPr>
        <w:spacing w:after="60" w:line="240" w:lineRule="auto"/>
      </w:pPr>
      <w:r>
        <w:rPr>
          <w:sz w:val="17"/>
        </w:rPr>
      </w:r>
      <w:r>
        <w:rPr>
          <w:b/>
          <w:color w:val="147D78"/>
          <w:sz w:val="17"/>
        </w:rPr>
        <w:t xml:space="preserve">FULL CREDIT  </w:t>
      </w:r>
      <w:r>
        <w:rPr>
          <w:sz w:val="17"/>
        </w:rPr>
        <w:t>Reconcile five items. Collect service 7040 + PID 7460 Sysmon 1 + stage-A 4104; for each later item, collect its direct event (task 106, listener-process Sysmon 1, or listener 5154) plus stage-B 4104. Explain how A→B establishes the exact service image and PID that B→C reuses. Treat the scripts as evidence of intent; use native event fields for confirmed state and label outbound activity as an attempt.</w:t>
      </w:r>
    </w:p>
    <w:p>
      <w:pPr>
        <w:spacing w:after="60" w:line="240" w:lineRule="auto"/>
      </w:pPr>
      <w:r>
        <w:rPr>
          <w:sz w:val="17"/>
        </w:rPr>
      </w:r>
      <w:r>
        <w:rPr>
          <w:b/>
          <w:color w:val="147D78"/>
          <w:sz w:val="17"/>
        </w:rPr>
        <w:t xml:space="preserve">MODEL SYNTHESIS  </w:t>
      </w:r>
      <w:r>
        <w:rPr>
          <w:sz w:val="17"/>
        </w:rPr>
        <w:t>“The first interval links the startup change to CacheHost.exe PID 7460. In the second interval, its child PowerShell requests a hidden startup task and launches a second instance; the task action, parent PID, listener PID, and 5154 record align. Defender disablement and archive/network events show malicious purpose. Similar names and timestamps alone do not establish that link.”</w:t>
      </w:r>
    </w:p>
    <w:p>
      <w:pPr>
        <w:spacing w:after="60" w:line="240" w:lineRule="auto"/>
      </w:pPr>
      <w:r>
        <w:rPr>
          <w:b/>
          <w:color w:val="147D78"/>
          <w:sz w:val="16"/>
        </w:rPr>
        <w:t>VARIANT GUIDE  A: WIN-LAB-01 · DeviceCacheSvc / CacheHost.exe / CacheHealth / 8448.  B: WIN-LAB-02 · InventoryCacheSvc / InventoryHost.exe / CacheHealth / 8449.  C: WIN-LAB-03 · MetricsCacheSvc / MetricsHost.exe / CacheHealth / 8450.  D: WIN-LAB-04 · PolicyCacheSvc / PolicyHost.exe / CacheHealth / 8451.  E: WIN-LAB-05 · EndpointCacheSvc / EndpointHost.exe / CacheHealth / 8452. Use the student’s complete task path and host from the case header; the common executable root is C:\ProgramData\CsgLab\Stage.</w:t>
      </w:r>
    </w:p>
    <w:p>
      <w:pPr>
        <w:pStyle w:val="Heading2"/>
        <w:keepNext/>
        <w:pageBreakBefore/>
      </w:pPr>
      <w:r>
        <w:t>Case 5 · Final Investigation</w:t>
      </w:r>
    </w:p>
    <w:p>
      <w:pPr>
        <w:spacing w:after="80"/>
      </w:pPr>
      <w:r>
        <w:t>TEACHING PURPOSE  Integrate durable state, intermediate transitions, and a linked malicious process chain; identify the intentional gaps in task registration and listener close telemetry.</w:t>
      </w:r>
    </w:p>
    <w:p>
      <w:pPr>
        <w:spacing w:after="80"/>
      </w:pPr>
      <w:r>
        <w:rPr>
          <w:b/>
          <w:color w:val="148C82"/>
          <w:sz w:val="16"/>
        </w:rPr>
        <w:t xml:space="preserve">SHOW  </w:t>
      </w:r>
      <w:r>
        <w:t>Before searching, build the relationship chain on the board. Use the CSG records and snapshots to fill it in; then use Wazuh to test each relationship independently.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Object</w:t>
            </w:r>
          </w:p>
        </w:tc>
        <w:tc>
          <w:tcPr>
            <w:tcW w:type="dxa" w:w="352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Identity to record</w:t>
            </w:r>
          </w:p>
        </w:tc>
        <w:tc>
          <w:tcPr>
            <w:tcW w:type="dxa" w:w="532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Link to test</w:t>
            </w:r>
          </w:p>
        </w:tc>
      </w:tr>
      <w:tr>
        <w:tc>
          <w:tcPr>
            <w:tcW w:type="dxa" w:w="151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Service</w:t>
            </w:r>
          </w:p>
        </w:tc>
        <w:tc>
          <w:tcPr>
            <w:tcW w:type="dxa" w:w="35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Exact service name and binary path</w:t>
            </w:r>
          </w:p>
        </w:tc>
        <w:tc>
          <w:tcPr>
            <w:tcW w:type="dxa" w:w="53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Does the process image use the same executable path?</w:t>
            </w:r>
          </w:p>
        </w:tc>
      </w:tr>
      <w:tr>
        <w:tc>
          <w:tcPr>
            <w:tcW w:type="dxa" w:w="151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Process</w:t>
            </w:r>
          </w:p>
        </w:tc>
        <w:tc>
          <w:tcPr>
            <w:tcW w:type="dxa" w:w="352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Image, PID, parent process / PPID</w:t>
            </w:r>
          </w:p>
        </w:tc>
        <w:tc>
          <w:tcPr>
            <w:tcW w:type="dxa" w:w="532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Does the listener use this process identity?</w:t>
            </w:r>
          </w:p>
        </w:tc>
      </w:tr>
      <w:tr>
        <w:tc>
          <w:tcPr>
            <w:tcW w:type="dxa" w:w="151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Listener</w:t>
            </w:r>
          </w:p>
        </w:tc>
        <w:tc>
          <w:tcPr>
            <w:tcW w:type="dxa" w:w="35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Protocol, local port, PID, process image</w:t>
            </w:r>
          </w:p>
        </w:tc>
        <w:tc>
          <w:tcPr>
            <w:tcW w:type="dxa" w:w="53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Does Windows/Wazuh independently support Listener Opened, and is there a record for Listener Closed?</w:t>
            </w:r>
          </w:p>
        </w:tc>
      </w:tr>
      <w:tr>
        <w:tc>
          <w:tcPr>
            <w:tcW w:type="dxa" w:w="151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Scheduled task</w:t>
            </w:r>
          </w:p>
        </w:tc>
        <w:tc>
          <w:tcPr>
            <w:tcW w:type="dxa" w:w="352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Full task path and action</w:t>
            </w:r>
          </w:p>
        </w:tc>
        <w:tc>
          <w:tcPr>
            <w:tcW w:type="dxa" w:w="532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Does the action invoke the same staged image? Is exact registration telemetry present?</w:t>
            </w:r>
          </w:p>
        </w:tc>
      </w:tr>
      <w:tr>
        <w:tc>
          <w:tcPr>
            <w:tcW w:type="dxa" w:w="151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Run value</w:t>
            </w:r>
          </w:p>
        </w:tc>
        <w:tc>
          <w:tcPr>
            <w:tcW w:type="dxa" w:w="35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Registry key, value name, value data</w:t>
            </w:r>
          </w:p>
        </w:tc>
        <w:tc>
          <w:tcPr>
            <w:tcW w:type="dxa" w:w="53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Does the value data invoke that staged image?</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2F6F6"/>
            <w:tcMar>
              <w:top w:w="140" w:type="dxa"/>
              <w:start w:w="180" w:type="dxa"/>
              <w:bottom w:w="140" w:type="dxa"/>
              <w:end w:w="180" w:type="dxa"/>
            </w:tcMar>
          </w:tcPr>
          <w:p>
            <w:pPr>
              <w:spacing w:after="0"/>
            </w:pPr>
            <w:r>
              <w:rPr>
                <w:rFonts w:ascii="Aptos" w:hAnsi="Aptos"/>
                <w:sz w:val="16"/>
              </w:rPr>
              <w:t>VARIANT A CHAIN  WIN-LAB-01 · RemoteAssistSvc → TelemetryStage.exe path → process PID 5160 → child PowerShell PID 5180 / event 4104 → listener TCP 4443 → InventoryRefresh task and DeviceHealthStage Run value.</w:t>
            </w:r>
          </w:p>
        </w:tc>
      </w:tr>
    </w:tbl>
    <w:p>
      <w:pPr>
        <w:spacing w:after="0"/>
      </w:pPr>
    </w:p>
    <w:p>
      <w:pPr>
        <w:pStyle w:val="Heading3"/>
        <w:keepNext/>
      </w:pPr>
      <w:r>
        <w:t>Search and reconcile each item</w:t>
      </w:r>
    </w:p>
    <w:p>
      <w:pPr>
        <w:spacing w:after="100"/>
      </w:pPr>
      <w:r>
        <w:rPr>
          <w:i w:val="0"/>
        </w:rPr>
        <w:t>Use the exact identity from the student’s own variant. The following Variant A searches show a field-by-field approach; run process start and exit as separate searches. These query strings use the classroom syntax and avoid grouping parentheses.</w:t>
      </w:r>
    </w:p>
    <w:tbl>
      <w:tblPr>
        <w:tblW w:type="auto" w:w="0"/>
        <w:jc w:val="center"/>
        <w:tblLook w:firstColumn="1" w:firstRow="1" w:lastColumn="0" w:lastRow="0" w:noHBand="0" w:noVBand="1" w:val="04A0"/>
      </w:tblPr>
      <w:tblGrid>
        <w:gridCol w:w="9994"/>
      </w:tblGrid>
      <w:tr>
        <w:tc>
          <w:tcPr>
            <w:tcW w:type="dxa" w:w="9994"/>
            <w:shd w:fill="EEF2F3"/>
            <w:tcMar>
              <w:top w:w="120" w:type="dxa"/>
              <w:start w:w="160" w:type="dxa"/>
              <w:bottom w:w="120" w:type="dxa"/>
              <w:end w:w="160" w:type="dxa"/>
            </w:tcMar>
          </w:tcPr>
          <w:p>
            <w:pPr>
              <w:spacing w:after="0"/>
            </w:pPr>
            <w:r>
              <w:rPr>
                <w:rFonts w:ascii="Aptos" w:hAnsi="Aptos"/>
                <w:sz w:val="16"/>
              </w:rPr>
              <w:t>host.name:WIN-LAB-01 AND service.name:"RemoteAssistSvc" AND event.id:7040</w:t>
              <w:br/>
              <w:t>host.name:WIN-LAB-01 AND process.pid:5160 AND event.id:1</w:t>
              <w:br/>
              <w:t>host.name:WIN-LAB-01 AND process.pid:5160 AND event.id:5</w:t>
              <w:br/>
              <w:t>host.name:WIN-LAB-01 AND listener.local_port:4443 AND event.id:5154</w:t>
              <w:br/>
              <w:t>host.name:WIN-LAB-01 AND process.pid:5180 AND event.id:1</w:t>
              <w:br/>
              <w:t>event.id:4104 AND InventoryRefresh</w:t>
              <w:br/>
              <w:t>host.name:WIN-LAB-01 AND registry.value_name:DeviceHealthStage AND event.id:13</w:t>
              <w:br/>
              <w:t>event.id:4104 AND DeviceHealthStage</w:t>
            </w:r>
          </w:p>
        </w:tc>
      </w:tr>
    </w:tbl>
    <w:p>
      <w:pPr>
        <w:spacing w:after="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Final item</w:t>
            </w:r>
          </w:p>
        </w:tc>
        <w:tc>
          <w:tcPr>
            <w:tcW w:type="dxa" w:w="324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CSG finding</w:t>
            </w:r>
          </w:p>
        </w:tc>
        <w:tc>
          <w:tcPr>
            <w:tcW w:type="dxa" w:w="4896"/>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Wazuh answer and tray</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Temporary service reconfiguration</w:t>
            </w:r>
          </w:p>
        </w:tc>
        <w:tc>
          <w:tcPr>
            <w:tcW w:type="dxa" w:w="3240"/>
            <w:shd w:fill="FFFFFF"/>
            <w:vAlign w:val="center"/>
            <w:tcMar>
              <w:top w:w="100" w:type="dxa"/>
              <w:start w:w="130" w:type="dxa"/>
              <w:bottom w:w="100" w:type="dxa"/>
              <w:end w:w="130" w:type="dxa"/>
            </w:tcMar>
          </w:tcPr>
          <w:p>
            <w:pPr>
              <w:spacing w:after="0"/>
            </w:pPr>
            <w:r>
              <w:rPr>
                <w:rFonts w:ascii="Aptos" w:hAnsi="Aptos"/>
                <w:sz w:val="16"/>
              </w:rPr>
              <w:t>Manual → Automatic → Manual; the service start type returned to its earlier value.</w:t>
            </w:r>
          </w:p>
        </w:tc>
        <w:tc>
          <w:tcPr>
            <w:tcW w:type="dxa" w:w="489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 · Collect both matching event 7040 service modifications.</w:t>
            </w:r>
          </w:p>
        </w:tc>
      </w:tr>
      <w:tr>
        <w:tc>
          <w:tcPr>
            <w:tcW w:type="dxa" w:w="223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Short-lived process</w:t>
            </w:r>
          </w:p>
        </w:tc>
        <w:tc>
          <w:tcPr>
            <w:tcW w:type="dxa" w:w="3240"/>
            <w:shd w:fill="F2F6F6"/>
            <w:vAlign w:val="center"/>
            <w:tcMar>
              <w:top w:w="100" w:type="dxa"/>
              <w:start w:w="130" w:type="dxa"/>
              <w:bottom w:w="100" w:type="dxa"/>
              <w:end w:w="130" w:type="dxa"/>
            </w:tcMar>
          </w:tcPr>
          <w:p>
            <w:pPr>
              <w:spacing w:after="0"/>
            </w:pPr>
            <w:r>
              <w:rPr>
                <w:rFonts w:ascii="Aptos" w:hAnsi="Aptos"/>
                <w:sz w:val="16"/>
              </w:rPr>
              <w:t>Process Create then Process Terminated; absent at both snapshot boundaries. Image path matches service binary; parent is services.exe.</w:t>
            </w:r>
          </w:p>
        </w:tc>
        <w:tc>
          <w:tcPr>
            <w:tcW w:type="dxa" w:w="489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 · Collect Sysmon 1 and Sysmon 5 for the exact PID, image, parent, and host.</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Temporary listener</w:t>
            </w:r>
          </w:p>
        </w:tc>
        <w:tc>
          <w:tcPr>
            <w:tcW w:type="dxa" w:w="32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Listener Opened then Listener Closed for the same PID and process.</w:t>
            </w:r>
          </w:p>
        </w:tc>
        <w:tc>
          <w:tcPr>
            <w:tcW w:type="dxa" w:w="4896"/>
            <w:shd w:fill="FFFFFF"/>
            <w:vAlign w:val="center"/>
            <w:tcMar>
              <w:top w:w="100" w:type="dxa"/>
              <w:start w:w="130" w:type="dxa"/>
              <w:bottom w:w="100" w:type="dxa"/>
              <w:end w:w="130" w:type="dxa"/>
            </w:tcMar>
          </w:tcPr>
          <w:p>
            <w:pPr>
              <w:spacing w:after="0"/>
            </w:pPr>
            <w:r>
              <w:rPr>
                <w:rFonts w:ascii="Aptos" w:hAnsi="Aptos"/>
                <w:sz w:val="16"/>
              </w:rPr>
              <w:t>PARTIALLY_EXPLAINED · Collect event 5154 for exact port/PID/path. Child Sysmon 1 and 4104 link the listener owner to malicious activity; no close record or inbound-session evidence.</w:t>
            </w:r>
          </w:p>
        </w:tc>
      </w:tr>
      <w:tr>
        <w:tc>
          <w:tcPr>
            <w:tcW w:type="dxa" w:w="223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Scheduled task persists</w:t>
            </w:r>
          </w:p>
        </w:tc>
        <w:tc>
          <w:tcPr>
            <w:tcW w:type="dxa" w:w="32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Scheduled Task Registered; absent in Snapshot A and present in Snapshot B; its action invokes the staged image.</w:t>
            </w:r>
          </w:p>
        </w:tc>
        <w:tc>
          <w:tcPr>
            <w:tcW w:type="dxa" w:w="4896"/>
            <w:shd w:fill="F2F6F6"/>
            <w:vAlign w:val="center"/>
            <w:tcMar>
              <w:top w:w="100" w:type="dxa"/>
              <w:start w:w="130" w:type="dxa"/>
              <w:bottom w:w="100" w:type="dxa"/>
              <w:end w:w="130" w:type="dxa"/>
            </w:tcMar>
          </w:tcPr>
          <w:p>
            <w:pPr>
              <w:spacing w:after="0"/>
            </w:pPr>
            <w:r>
              <w:rPr>
                <w:rFonts w:ascii="Aptos" w:hAnsi="Aptos"/>
                <w:sz w:val="16"/>
              </w:rPr>
              <w:t>PARTIALLY_EXPLAINED · CSG confirms persistence; collect 4104 naming the exact task/action. No matching Task Scheduler 106 confirms registration; reject lookalikes.</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Registry persistence</w:t>
            </w:r>
          </w:p>
        </w:tc>
        <w:tc>
          <w:tcPr>
            <w:tcW w:type="dxa" w:w="32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Registry Value Set; the exact value persists in Snapshot B and points to the staged image.</w:t>
            </w:r>
          </w:p>
        </w:tc>
        <w:tc>
          <w:tcPr>
            <w:tcW w:type="dxa" w:w="4896"/>
            <w:shd w:fill="FFFFFF"/>
            <w:vAlign w:val="center"/>
            <w:tcMar>
              <w:top w:w="100" w:type="dxa"/>
              <w:start w:w="130" w:type="dxa"/>
              <w:bottom w:w="100" w:type="dxa"/>
              <w:end w:w="130" w:type="dxa"/>
            </w:tcMar>
          </w:tcPr>
          <w:p>
            <w:pPr>
              <w:spacing w:after="0"/>
            </w:pPr>
            <w:r>
              <w:rPr>
                <w:rFonts w:ascii="Aptos" w:hAnsi="Aptos"/>
                <w:sz w:val="16"/>
              </w:rPr>
              <w:t>CONSISTENT · Collect Sysmon 13 for the exact Run value/data and 4104 requesting that same value/data.</w:t>
            </w:r>
          </w:p>
        </w:tc>
      </w:tr>
    </w:tbl>
    <w:p>
      <w:pPr>
        <w:spacing w:after="0"/>
      </w:pPr>
    </w:p>
    <w:p>
      <w:pPr>
        <w:spacing w:after="80"/>
      </w:pPr>
      <w:r>
        <w:t>STUDENT PROMPT  “Which exact path, PID, command, task, or value connects each activity to the CSG finding? Which event directly confirms the state, and where does coverage stop?”</w:t>
      </w:r>
    </w:p>
    <w:p>
      <w:pPr>
        <w:spacing w:after="80"/>
      </w:pPr>
      <w:r>
        <w:t>EXPECTED CHAIN  The service binary matches the process image; process PID 5160 owns the listener and parents PowerShell PID 5180. Event 4104 from that child requests the exact task and Run value later seen by CSG, and contains Defender-disable and data-staging commands. Sysmon 13 directly confirms the Run value. There is no Task Scheduler 106 or listener-close event; CSG confirms the task persisted, so classify that link as partial rather than discarding it.</w:t>
      </w:r>
    </w:p>
    <w:tbl>
      <w:tblPr>
        <w:tblW w:type="auto" w:w="0"/>
        <w:jc w:val="center"/>
        <w:tblLook w:firstColumn="1" w:firstRow="1" w:lastColumn="0" w:lastRow="0" w:noHBand="0" w:noVBand="1" w:val="04A0"/>
      </w:tblPr>
      <w:tblGrid>
        <w:gridCol w:w="9994"/>
      </w:tblGrid>
      <w:tr>
        <w:tc>
          <w:tcPr>
            <w:tcW w:type="dxa" w:w="9994"/>
            <w:shd w:fill="17313B"/>
            <w:tcMar>
              <w:top w:w="160" w:type="dxa"/>
              <w:start w:w="190" w:type="dxa"/>
              <w:bottom w:w="160" w:type="dxa"/>
              <w:end w:w="190" w:type="dxa"/>
            </w:tcMar>
          </w:tcPr>
          <w:p>
            <w:pPr>
              <w:spacing w:after="0"/>
            </w:pPr>
            <w:r>
              <w:rPr>
                <w:rFonts w:ascii="Aptos" w:hAnsi="Aptos"/>
                <w:sz w:val="16"/>
              </w:rPr>
              <w:t>SAY  “CSG confirms that the task persisted. PowerShell 4104 from its linked child process requests the same task/action while disabling Defender and staging data. No Task Scheduler 106 confirms registration, so report a strong cross-source link with a native telemetry gap.”</w:t>
            </w:r>
          </w:p>
        </w:tc>
      </w:tr>
    </w:tbl>
    <w:p>
      <w:pPr>
        <w:spacing w:after="0"/>
      </w:pPr>
    </w:p>
    <w:p>
      <w:pPr>
        <w:pStyle w:val="Heading3"/>
        <w:keepNext/>
      </w:pPr>
      <w:r>
        <w:t>Model final reconstruction</w:t>
      </w:r>
    </w:p>
    <w:tbl>
      <w:tblPr>
        <w:tblW w:type="auto" w:w="0"/>
        <w:jc w:val="center"/>
        <w:tblLayout w:type="autofit"/>
        <w:tblLook w:firstColumn="1" w:firstRow="1" w:lastColumn="0" w:lastRow="0" w:noHBand="0" w:noVBand="1" w:val="04A0"/>
      </w:tblPr>
      <w:tblGrid>
        <w:gridCol w:w="9994"/>
      </w:tblGrid>
      <w:tr>
        <w:tc>
          <w:tcPr>
            <w:tcW w:type="dxa" w:w="9994"/>
            <w:shd w:fill="E8F5F2"/>
            <w:tcMar>
              <w:top w:w="140" w:type="dxa"/>
              <w:start w:w="180" w:type="dxa"/>
              <w:bottom w:w="140" w:type="dxa"/>
              <w:end w:w="180" w:type="dxa"/>
            </w:tcMar>
          </w:tcPr>
          <w:p>
            <w:pPr>
              <w:spacing w:after="0"/>
            </w:pPr>
            <w:r>
              <w:rPr>
                <w:rFonts w:ascii="Aptos" w:hAnsi="Aptos"/>
                <w:b/>
                <w:color w:val="148C82"/>
                <w:sz w:val="16"/>
              </w:rPr>
            </w:r>
            <w:r>
              <w:rPr>
                <w:rFonts w:ascii="Aptos" w:hAnsi="Aptos"/>
                <w:color w:val="20343B"/>
                <w:sz w:val="16"/>
              </w:rPr>
            </w:r>
          </w:p>
        </w:tc>
      </w:tr>
    </w:tbl>
    <w:p>
      <w:pPr>
        <w:spacing w:after="0"/>
      </w:pPr>
    </w:p>
    <w:p>
      <w:pPr>
        <w:pStyle w:val="Heading1"/>
        <w:keepNext/>
      </w:pPr>
      <w:r>
        <w:t>5. Variant reference for live teaching</w:t>
      </w:r>
    </w:p>
    <w:p>
      <w:pPr>
        <w:spacing w:after="100"/>
      </w:pPr>
      <w:r>
        <w:rPr>
          <w:i w:val="0"/>
        </w:rPr>
        <w:t>Students should search using the host and names in their own case header. Use this table to translate the Variant A demonstration. The executable root for each variant is C:\ProgramData\CsgLab\Stage\&lt;process-name&gt;. The same object relationships and answer logic apply across variants.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64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Variant</w:t>
            </w:r>
          </w:p>
        </w:tc>
        <w:tc>
          <w:tcPr>
            <w:tcW w:type="dxa" w:w="136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Host</w:t>
            </w:r>
          </w:p>
        </w:tc>
        <w:tc>
          <w:tcPr>
            <w:tcW w:type="dxa" w:w="144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Case 1 service</w:t>
            </w:r>
          </w:p>
        </w:tc>
        <w:tc>
          <w:tcPr>
            <w:tcW w:type="dxa" w:w="144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Case 2 service</w:t>
            </w:r>
          </w:p>
        </w:tc>
        <w:tc>
          <w:tcPr>
            <w:tcW w:type="dxa" w:w="252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Case 3 service / process / task</w:t>
            </w:r>
          </w:p>
        </w:tc>
        <w:tc>
          <w:tcPr>
            <w:tcW w:type="dxa" w:w="2952"/>
            <w:shd w:fill="17313B"/>
            <w:vAlign w:val="center"/>
            <w:tcMar>
              <w:top w:w="100" w:type="dxa"/>
              <w:start w:w="130" w:type="dxa"/>
              <w:bottom w:w="100" w:type="dxa"/>
              <w:end w:w="130" w:type="dxa"/>
            </w:tcMar>
          </w:tcPr>
          <w:p>
            <w:r>
              <w:t>Case 5 / Final service / process / task / Run value / port</w:t>
            </w:r>
          </w:p>
        </w:tc>
      </w:tr>
      <w:tr>
        <w:tc>
          <w:tcPr>
            <w:tcW w:type="dxa" w:w="64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A</w:t>
            </w:r>
          </w:p>
        </w:tc>
        <w:tc>
          <w:tcPr>
            <w:tcW w:type="dxa" w:w="136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WIN-LAB-01</w:t>
            </w:r>
          </w:p>
        </w:tc>
        <w:tc>
          <w:tcPr>
            <w:tcW w:type="dxa" w:w="14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BackupAgent</w:t>
            </w:r>
          </w:p>
        </w:tc>
        <w:tc>
          <w:tcPr>
            <w:tcW w:type="dxa" w:w="14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UpdateHelper</w:t>
            </w:r>
          </w:p>
        </w:tc>
        <w:tc>
          <w:tcPr>
            <w:tcW w:type="dxa" w:w="252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DeviceHealthSvc / DeviceHealthCheck.exe / \Microsoft\Windows\DeviceHealth\CacheRefresh</w:t>
            </w:r>
          </w:p>
        </w:tc>
        <w:tc>
          <w:tcPr>
            <w:tcW w:type="dxa" w:w="295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RemoteAssistSvc / TelemetryStage.exe / \Microsoft\Windows\DeviceHealth\InventoryRefresh / DeviceHealthStage / 4443</w:t>
            </w:r>
          </w:p>
        </w:tc>
      </w:tr>
      <w:tr>
        <w:tc>
          <w:tcPr>
            <w:tcW w:type="dxa" w:w="64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B</w:t>
            </w:r>
          </w:p>
        </w:tc>
        <w:tc>
          <w:tcPr>
            <w:tcW w:type="dxa" w:w="136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WIN-LAB-02</w:t>
            </w:r>
          </w:p>
        </w:tc>
        <w:tc>
          <w:tcPr>
            <w:tcW w:type="dxa" w:w="14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UpdateBridge</w:t>
            </w:r>
          </w:p>
        </w:tc>
        <w:tc>
          <w:tcPr>
            <w:tcW w:type="dxa" w:w="14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CloudSyncBridge</w:t>
            </w:r>
          </w:p>
        </w:tc>
        <w:tc>
          <w:tcPr>
            <w:tcW w:type="dxa" w:w="252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InventoryTelemetry / InventoryStage.exe / \Microsoft\Windows\Inventory\CacheRefresh</w:t>
            </w:r>
          </w:p>
        </w:tc>
        <w:tc>
          <w:tcPr>
            <w:tcW w:type="dxa" w:w="295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InventoryBrokerSvc / InventoryStage.exe / \Microsoft\Windows\Inventory\InventoryRefresh / InventoryStage / 4444</w:t>
            </w:r>
          </w:p>
        </w:tc>
      </w:tr>
      <w:tr>
        <w:tc>
          <w:tcPr>
            <w:tcW w:type="dxa" w:w="64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w:t>
            </w:r>
          </w:p>
        </w:tc>
        <w:tc>
          <w:tcPr>
            <w:tcW w:type="dxa" w:w="136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WIN-LAB-03</w:t>
            </w:r>
          </w:p>
        </w:tc>
        <w:tc>
          <w:tcPr>
            <w:tcW w:type="dxa" w:w="14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MonitorRelay</w:t>
            </w:r>
          </w:p>
        </w:tc>
        <w:tc>
          <w:tcPr>
            <w:tcW w:type="dxa" w:w="14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InventoryAgent</w:t>
            </w:r>
          </w:p>
        </w:tc>
        <w:tc>
          <w:tcPr>
            <w:tcW w:type="dxa" w:w="252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MetricsRelaySvc / MetricsStage.exe / \Microsoft\Windows\Metrics\CacheRefresh</w:t>
            </w:r>
          </w:p>
        </w:tc>
        <w:tc>
          <w:tcPr>
            <w:tcW w:type="dxa" w:w="295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MetricsSupportSvc / MetricsStage.exe / \Microsoft\Windows\Metrics\InventoryRefresh / MetricsStage / 4445</w:t>
            </w:r>
          </w:p>
        </w:tc>
      </w:tr>
      <w:tr>
        <w:tc>
          <w:tcPr>
            <w:tcW w:type="dxa" w:w="64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w:t>
            </w:r>
          </w:p>
        </w:tc>
        <w:tc>
          <w:tcPr>
            <w:tcW w:type="dxa" w:w="136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WIN-LAB-04</w:t>
            </w:r>
          </w:p>
        </w:tc>
        <w:tc>
          <w:tcPr>
            <w:tcW w:type="dxa" w:w="14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PatchCoordinator</w:t>
            </w:r>
          </w:p>
        </w:tc>
        <w:tc>
          <w:tcPr>
            <w:tcW w:type="dxa" w:w="14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PatchCoordinator</w:t>
            </w:r>
          </w:p>
        </w:tc>
        <w:tc>
          <w:tcPr>
            <w:tcW w:type="dxa" w:w="252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PolicyBrokerSvc / PolicyStage.exe / \Microsoft\Windows\Policy\CacheRefresh</w:t>
            </w:r>
          </w:p>
        </w:tc>
        <w:tc>
          <w:tcPr>
            <w:tcW w:type="dxa" w:w="295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PolicyCacheSvc / PolicyStage.exe / \Microsoft\Windows\Policy\InventoryRefresh / PolicyStage / 4446</w:t>
            </w:r>
          </w:p>
        </w:tc>
      </w:tr>
      <w:tr>
        <w:tc>
          <w:tcPr>
            <w:tcW w:type="dxa" w:w="64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w:t>
            </w:r>
          </w:p>
        </w:tc>
        <w:tc>
          <w:tcPr>
            <w:tcW w:type="dxa" w:w="136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WIN-LAB-05</w:t>
            </w:r>
          </w:p>
        </w:tc>
        <w:tc>
          <w:tcPr>
            <w:tcW w:type="dxa" w:w="14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TelemetryHelper</w:t>
            </w:r>
          </w:p>
        </w:tc>
        <w:tc>
          <w:tcPr>
            <w:tcW w:type="dxa" w:w="14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OpsTelemetry</w:t>
            </w:r>
          </w:p>
        </w:tc>
        <w:tc>
          <w:tcPr>
            <w:tcW w:type="dxa" w:w="252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EndpointHealthSvc / EndpointStage.exe / \Microsoft\Windows\Endpoint\CacheRefresh</w:t>
            </w:r>
          </w:p>
        </w:tc>
        <w:tc>
          <w:tcPr>
            <w:tcW w:type="dxa" w:w="295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EndpointAssistSvc / EndpointStage.exe / \Microsoft\Windows\Endpoint\InventoryRefresh / EndpointStage / 4447</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2F6F6"/>
            <w:tcMar>
              <w:top w:w="140" w:type="dxa"/>
              <w:start w:w="180" w:type="dxa"/>
              <w:bottom w:w="140" w:type="dxa"/>
              <w:end w:w="180" w:type="dxa"/>
            </w:tcMar>
          </w:tcPr>
          <w:p>
            <w:pPr>
              <w:spacing w:after="0"/>
            </w:pPr>
            <w:r>
              <w:t>SHARED TIMING  Case 4 captures are 09:30Z, 10:00Z, and 10:30Z. Case 3 and Case 5 use 09:30Z and 10:00Z. The broad Wazuh search spans 09:00Z–12:00Z; displayed times use the browser’s local timezone.</w:t>
            </w:r>
          </w:p>
        </w:tc>
      </w:tr>
    </w:tbl>
    <w:p>
      <w:pPr>
        <w:spacing w:after="0"/>
      </w:pPr>
    </w:p>
    <w:p>
      <w:pPr>
        <w:pStyle w:val="Heading1"/>
        <w:keepNext/>
      </w:pPr>
      <w:r>
        <w:t>6. Full-score coaching and assessment</w:t>
      </w:r>
    </w:p>
    <w:p>
      <w:pPr>
        <w:pStyle w:val="Heading2"/>
        <w:keepNext/>
      </w:pPr>
      <w:r>
        <w:t>What full credit requires</w:t>
      </w:r>
    </w:p>
    <w:p>
      <w:pPr>
        <w:spacing w:after="100"/>
      </w:pPr>
      <w:r>
        <w:t>Each investigation item is worth 100 points: 50 for the expected classification, 40 for the evidence rule, and 10 for a valid explanation of at least 20 characters. Full evidence credit requires every required event and no prohibited distractor. For Case 2, collect the ordered 4104 script block and both 7036 forwarder state records; cite the later Defender, archive, and network events to explain the attack. The absent 7040 leaves command execution and causation unconfirmed. The Final task is also partially explained because its native registration event is absent.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Before the student submits</w:t>
            </w:r>
          </w:p>
        </w:tc>
        <w:tc>
          <w:tcPr>
            <w:tcW w:type="dxa" w:w="8136"/>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Listen or look for</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Classification</w:t>
            </w:r>
          </w:p>
        </w:tc>
        <w:tc>
          <w:tcPr>
            <w:tcW w:type="dxa" w:w="813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 PARTIALLY_EXPLAINED, or UNEXPLAINED as appropriate for the specific item.</w:t>
            </w:r>
          </w:p>
        </w:tc>
      </w:tr>
      <w:tr>
        <w:tc>
          <w:tcPr>
            <w:tcW w:type="dxa" w:w="223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Evidence tray</w:t>
            </w:r>
          </w:p>
        </w:tc>
        <w:tc>
          <w:tcPr>
            <w:tcW w:type="dxa" w:w="8136"/>
            <w:shd w:fill="F2F6F6"/>
            <w:vAlign w:val="center"/>
            <w:tcMar>
              <w:top w:w="100" w:type="dxa"/>
              <w:start w:w="130" w:type="dxa"/>
              <w:bottom w:w="100" w:type="dxa"/>
              <w:end w:w="130" w:type="dxa"/>
            </w:tcMar>
          </w:tcPr>
          <w:p>
            <w:pPr>
              <w:spacing w:after="0"/>
            </w:pPr>
            <w:r>
              <w:t>All and only the required Wazuh records. Case 2 requires three records across one tray (4104 plus two 7036s). Case 3 has six records across three trays. Case 4 has eleven item-level selections across five trays (seven distinct records; each 4104 is reused across related findings). The Final has eight selections (seven distinct events; 4104 is reused for task and Run value).</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Explanation</w:t>
            </w:r>
          </w:p>
        </w:tc>
        <w:tc>
          <w:tcPr>
            <w:tcW w:type="dxa" w:w="8136"/>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At least 20 characters; for instructor full reasoning credit, it names host and object, states operation or before/after values, locates the event within the snapshot window, and explains why evidence supports or fails to support the CSG record.</w:t>
            </w:r>
          </w:p>
        </w:tc>
      </w:tr>
      <w:tr>
        <w:tc>
          <w:tcPr>
            <w:tcW w:type="dxa" w:w="223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Final linkage</w:t>
            </w:r>
          </w:p>
        </w:tc>
        <w:tc>
          <w:tcPr>
            <w:tcW w:type="dxa" w:w="8136"/>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Explicit path link from service to process, PID/image link from process to listener, and task action / Run value data linked to the same staged image.</w:t>
            </w:r>
          </w:p>
        </w:tc>
      </w:tr>
      <w:tr>
        <w:tc>
          <w:tcPr>
            <w:tcW w:type="dxa" w:w="223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Caution</w:t>
            </w:r>
          </w:p>
        </w:tc>
        <w:tc>
          <w:tcPr>
            <w:tcW w:type="dxa" w:w="8136"/>
            <w:shd w:fill="FFFFFF"/>
            <w:vAlign w:val="center"/>
            <w:tcMar>
              <w:top w:w="100" w:type="dxa"/>
              <w:start w:w="130" w:type="dxa"/>
              <w:bottom w:w="100" w:type="dxa"/>
              <w:end w:w="130" w:type="dxa"/>
            </w:tcMar>
          </w:tcPr>
          <w:p>
            <w:pPr>
              <w:spacing w:after="0"/>
            </w:pPr>
            <w:r>
              <w:rPr>
                <w:rFonts w:ascii="Aptos" w:hAnsi="Aptos"/>
                <w:sz w:val="16"/>
              </w:rPr>
              <w:t>A missing native event remains a coverage gap; an exact 4104 command and matching CSG state can still link malicious intent to the result.</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5E9C9"/>
            <w:tcMar>
              <w:top w:w="140" w:type="dxa"/>
              <w:start w:w="180" w:type="dxa"/>
              <w:bottom w:w="140" w:type="dxa"/>
              <w:end w:w="180" w:type="dxa"/>
            </w:tcMar>
          </w:tcPr>
          <w:p>
            <w:pPr>
              <w:spacing w:after="0"/>
            </w:pPr>
            <w:r>
              <w:rPr>
                <w:rFonts w:ascii="Aptos" w:hAnsi="Aptos"/>
                <w:b/>
                <w:color w:val="9A6B13"/>
                <w:sz w:val="16"/>
              </w:rPr>
              <w:t xml:space="preserve">PLATFORM VERSUS TEACHING RUBRIC  </w:t>
            </w:r>
            <w:r>
              <w:rPr>
                <w:rFonts w:ascii="Aptos" w:hAnsi="Aptos"/>
                <w:color w:val="20343B"/>
                <w:sz w:val="16"/>
              </w:rPr>
              <w:t>The platform validates explanation length, not whether the reasoning is semantically complete. The instructor CSV contains each submitted item and explanation for human review. Use the expanded teaching standard above when awarding full reasoning credit.</w:t>
            </w:r>
          </w:p>
        </w:tc>
      </w:tr>
    </w:tbl>
    <w:p>
      <w:pPr>
        <w:spacing w:after="0"/>
      </w:pPr>
    </w:p>
    <w:p>
      <w:pPr>
        <w:pStyle w:val="Heading2"/>
        <w:keepNext/>
      </w:pPr>
      <w:r>
        <w:t>Coach without giving away the match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528"/>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If students say…</w:t>
            </w:r>
          </w:p>
        </w:tc>
        <w:tc>
          <w:tcPr>
            <w:tcW w:type="dxa" w:w="6840"/>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Ask…</w:t>
            </w:r>
          </w:p>
        </w:tc>
      </w:tr>
      <w:tr>
        <w:tc>
          <w:tcPr>
            <w:tcW w:type="dxa" w:w="35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“It is the closest event.”</w:t>
            </w:r>
          </w:p>
        </w:tc>
        <w:tc>
          <w:tcPr>
            <w:tcW w:type="dxa" w:w="68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“Which field identifies the same object, and does the operation match?”</w:t>
            </w:r>
          </w:p>
        </w:tc>
      </w:tr>
      <w:tr>
        <w:tc>
          <w:tcPr>
            <w:tcW w:type="dxa" w:w="352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“It has the same service name.”</w:t>
            </w:r>
          </w:p>
        </w:tc>
        <w:tc>
          <w:tcPr>
            <w:tcW w:type="dxa" w:w="68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“Read the old and new values in both records. Are they the same transition?”</w:t>
            </w:r>
          </w:p>
        </w:tc>
      </w:tr>
      <w:tr>
        <w:tc>
          <w:tcPr>
            <w:tcW w:type="dxa" w:w="35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“There is no process in Snapshot B, so nothing happened.”</w:t>
            </w:r>
          </w:p>
        </w:tc>
        <w:tc>
          <w:tcPr>
            <w:tcW w:type="dxa" w:w="68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“What does the CSG State Change Timeline report between the snapshot boundaries?”</w:t>
            </w:r>
          </w:p>
        </w:tc>
      </w:tr>
      <w:tr>
        <w:tc>
          <w:tcPr>
            <w:tcW w:type="dxa" w:w="352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“The task event proves the whole incident.”</w:t>
            </w:r>
          </w:p>
        </w:tc>
        <w:tc>
          <w:tcPr>
            <w:tcW w:type="dxa" w:w="68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“Does its full task identity match? Does the action connect to the staged image?”</w:t>
            </w:r>
          </w:p>
        </w:tc>
      </w:tr>
      <w:tr>
        <w:tc>
          <w:tcPr>
            <w:tcW w:type="dxa" w:w="3528"/>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“No Wazuh event means the task was malicious.”</w:t>
            </w:r>
          </w:p>
        </w:tc>
        <w:tc>
          <w:tcPr>
            <w:tcW w:type="dxa" w:w="6840"/>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“What can we establish from CSG and snapshots, and what is the telemetry gap?”</w:t>
            </w:r>
          </w:p>
        </w:tc>
      </w:tr>
      <w:tr>
        <w:tc>
          <w:tcPr>
            <w:tcW w:type="dxa" w:w="3528"/>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“This listener event proves it opened and closed.”</w:t>
            </w:r>
          </w:p>
        </w:tc>
        <w:tc>
          <w:tcPr>
            <w:tcW w:type="dxa" w:w="6840"/>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“Which operation does 5154 support? Where is the independent close record?”</w:t>
            </w:r>
          </w:p>
        </w:tc>
      </w:tr>
    </w:tbl>
    <w:p>
      <w:pPr>
        <w:spacing w:after="0"/>
      </w:pPr>
    </w:p>
    <w:p>
      <w:pPr>
        <w:pStyle w:val="Heading1"/>
        <w:keepNext/>
      </w:pPr>
      <w:r>
        <w:t>7. Close the lab with a synthesis</w:t>
      </w:r>
    </w:p>
    <w:tbl>
      <w:tblPr>
        <w:tblW w:type="auto" w:w="0"/>
        <w:jc w:val="center"/>
        <w:tblLook w:firstColumn="1" w:firstRow="1" w:lastColumn="0" w:lastRow="0" w:noHBand="0" w:noVBand="1" w:val="04A0"/>
      </w:tblPr>
      <w:tblGrid>
        <w:gridCol w:w="9994"/>
      </w:tblGrid>
      <w:tr>
        <w:tc>
          <w:tcPr>
            <w:tcW w:type="dxa" w:w="9994"/>
            <w:shd w:fill="17313B"/>
            <w:tcMar>
              <w:top w:w="160" w:type="dxa"/>
              <w:start w:w="190" w:type="dxa"/>
              <w:bottom w:w="160" w:type="dxa"/>
              <w:end w:w="190" w:type="dxa"/>
            </w:tcMar>
          </w:tcPr>
          <w:p>
            <w:pPr>
              <w:spacing w:after="0"/>
            </w:pPr>
            <w:r>
              <w:rPr>
                <w:rFonts w:ascii="Aptos" w:hAnsi="Aptos"/>
                <w:sz w:val="16"/>
              </w:rPr>
              <w:t>SAY  “Reconstruct the incident in three passes. What persisted? What did CSG observe between snapshots? Which Wazuh records directly confirm those changes, which commands link attacker intent to the CSG state, and where is telemetry missing?”</w:t>
            </w:r>
          </w:p>
        </w:tc>
      </w:tr>
    </w:tbl>
    <w:p>
      <w:pPr>
        <w:spacing w:after="0"/>
      </w:pPr>
    </w:p>
    <w:p>
      <w:pPr>
        <w:pStyle w:val="Heading2"/>
        <w:keepNext/>
      </w:pPr>
      <w:r>
        <w:t>Discussion questions</w:t>
      </w:r>
    </w:p>
    <w:p>
      <w:pPr>
        <w:pStyle w:val="ListBullet"/>
        <w:spacing w:after="40"/>
      </w:pPr>
      <w:r>
        <w:t>Which observations came from Snapshot A/B, which came from CSG transition history, and which came from Wazuh?</w:t>
      </w:r>
    </w:p>
    <w:p>
      <w:pPr>
        <w:pStyle w:val="ListBullet"/>
        <w:spacing w:after="40"/>
      </w:pPr>
      <w:r>
        <w:t>How can identical service states in two snapshots coexist with two service modifications in CSG history?</w:t>
      </w:r>
    </w:p>
    <w:p>
      <w:pPr>
        <w:pStyle w:val="ListBullet"/>
        <w:spacing w:after="40"/>
      </w:pPr>
      <w:r>
        <w:t>What exact fields connected the service, process, listener, task, and Run value?</w:t>
      </w:r>
    </w:p>
    <w:p>
      <w:pPr>
        <w:pStyle w:val="ListBullet"/>
        <w:spacing w:after="40"/>
      </w:pPr>
      <w:r>
        <w:t>Why was the listener only partially explained? What additional record would have completed its Wazuh lifecycle?</w:t>
      </w:r>
    </w:p>
    <w:p>
      <w:pPr>
        <w:pStyle w:val="ListBullet"/>
        <w:spacing w:after="40"/>
      </w:pPr>
      <w:r>
        <w:t>Why is the task a durable CSG finding even though its exact Wazuh registration event is missing?</w:t>
      </w:r>
    </w:p>
    <w:p>
      <w:pPr>
        <w:pStyle w:val="ListBullet"/>
        <w:spacing w:after="40"/>
      </w:pPr>
      <w:r>
        <w:t>How did the wrong-host and similar-task distractors help test the search method?</w:t>
      </w:r>
    </w:p>
    <w:p>
      <w:pPr>
        <w:pStyle w:val="Heading2"/>
        <w:keepNext/>
      </w:pPr>
      <w:r>
        <w:t>Closing summary</w:t>
      </w:r>
    </w:p>
    <w:tbl>
      <w:tblPr>
        <w:tblW w:type="auto" w:w="0"/>
        <w:jc w:val="center"/>
        <w:tblLayout w:type="autofit"/>
        <w:tblLook w:firstColumn="1" w:firstRow="1" w:lastColumn="0" w:lastRow="0" w:noHBand="0" w:noVBand="1" w:val="04A0"/>
      </w:tblPr>
      <w:tblGrid>
        <w:gridCol w:w="9994"/>
      </w:tblGrid>
      <w:tr>
        <w:tc>
          <w:tcPr>
            <w:tcW w:type="dxa" w:w="9994"/>
            <w:shd w:fill="17313B"/>
            <w:tcMar>
              <w:top w:w="140" w:type="dxa"/>
              <w:start w:w="180" w:type="dxa"/>
              <w:bottom w:w="140" w:type="dxa"/>
              <w:end w:w="180" w:type="dxa"/>
            </w:tcMar>
          </w:tcPr>
          <w:p>
            <w:pPr>
              <w:spacing w:after="0"/>
            </w:pPr>
            <w:r>
              <w:rPr>
                <w:rFonts w:ascii="Aptos" w:hAnsi="Aptos"/>
                <w:sz w:val="16"/>
              </w:rPr>
              <w:t>SAY  “A useful investigation follows identities across sources and marks where evidence ends. Here CSG and snapshots show the persistent task and Run value; event 4104 links both commands to the malicious child process, Sysmon 13 confirms the Run write, and the missing task-registration and listener-close records remain specific coverage gaps.”</w:t>
            </w:r>
          </w:p>
        </w:tc>
      </w:tr>
    </w:tbl>
    <w:p>
      <w:pPr>
        <w:spacing w:after="0"/>
      </w:pPr>
    </w:p>
    <w:p>
      <w:pPr>
        <w:pStyle w:val="Heading2"/>
        <w:keepNext/>
      </w:pPr>
      <w:r>
        <w:t>Instructor quick-reference answers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Case</w:t>
            </w:r>
          </w:p>
        </w:tc>
        <w:tc>
          <w:tcPr>
            <w:tcW w:type="dxa" w:w="2664"/>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Expected result</w:t>
            </w:r>
          </w:p>
        </w:tc>
        <w:tc>
          <w:tcPr>
            <w:tcW w:type="dxa" w:w="5112"/>
            <w:shd w:fill="17313B"/>
            <w:vAlign w:val="center"/>
            <w:tcMar>
              <w:top w:w="100" w:type="dxa"/>
              <w:start w:w="130" w:type="dxa"/>
              <w:bottom w:w="100" w:type="dxa"/>
              <w:end w:w="130" w:type="dxa"/>
            </w:tcMar>
          </w:tcPr>
          <w:p>
            <w:pPr>
              <w:spacing w:after="0"/>
            </w:pPr>
            <w:r>
              <w:rPr>
                <w:rFonts w:ascii="Aptos" w:hAnsi="Aptos"/>
                <w:sz w:val="16"/>
              </w:rPr>
            </w:r>
            <w:r>
              <w:rPr>
                <w:rFonts w:ascii="Aptos" w:hAnsi="Aptos"/>
                <w:b/>
                <w:color w:val="FFFFFF"/>
                <w:sz w:val="16"/>
              </w:rPr>
              <w:t>Correct Wazuh evidence</w:t>
            </w:r>
          </w:p>
        </w:tc>
      </w:tr>
      <w:tr>
        <w:tc>
          <w:tcPr>
            <w:tcW w:type="dxa" w:w="259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1 · Expected Service</w:t>
            </w:r>
          </w:p>
        </w:tc>
        <w:tc>
          <w:tcPr>
            <w:tcW w:type="dxa" w:w="2664"/>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112"/>
            <w:shd w:fill="FFFFFF"/>
            <w:vAlign w:val="center"/>
            <w:tcMar>
              <w:top w:w="100" w:type="dxa"/>
              <w:start w:w="130" w:type="dxa"/>
              <w:bottom w:w="100" w:type="dxa"/>
              <w:end w:w="130" w:type="dxa"/>
            </w:tcMar>
          </w:tcPr>
          <w:p>
            <w:pPr>
              <w:spacing w:after="0"/>
            </w:pPr>
            <w:r>
              <w:rPr>
                <w:rFonts w:ascii="Aptos" w:hAnsi="Aptos"/>
                <w:sz w:val="16"/>
              </w:rPr>
              <w:t>CONSISTENT · Matching 7045 plus 4104 naming the service.</w:t>
            </w:r>
          </w:p>
        </w:tc>
      </w:tr>
      <w:tr>
        <w:tc>
          <w:tcPr>
            <w:tcW w:type="dxa" w:w="2592"/>
            <w:shd w:fill="F2F6F6"/>
            <w:vAlign w:val="center"/>
            <w:tcMar>
              <w:top w:w="100" w:type="dxa"/>
              <w:start w:w="130" w:type="dxa"/>
              <w:bottom w:w="100" w:type="dxa"/>
              <w:end w:w="130" w:type="dxa"/>
            </w:tcMar>
          </w:tcPr>
          <w:p>
            <w:r>
              <w:rPr>
                <w:rFonts w:ascii="Aptos" w:hAnsi="Aptos"/>
                <w:sz w:val="16"/>
              </w:rPr>
              <w:t>2 · Missing Service Event</w:t>
            </w:r>
          </w:p>
        </w:tc>
        <w:tc>
          <w:tcPr>
            <w:tcW w:type="dxa" w:w="2664"/>
            <w:shd w:fill="F2F6F6"/>
            <w:vAlign w:val="center"/>
            <w:tcMar>
              <w:top w:w="100" w:type="dxa"/>
              <w:start w:w="130" w:type="dxa"/>
              <w:bottom w:w="100" w:type="dxa"/>
              <w:end w:w="130" w:type="dxa"/>
            </w:tcMar>
          </w:tcPr>
          <w:p>
            <w:r>
              <w:rPr>
                <w:rFonts w:ascii="Aptos" w:hAnsi="Aptos"/>
                <w:sz w:val="16"/>
              </w:rPr>
              <w:t>PARTIALLY_EXPLAINED</w:t>
            </w:r>
          </w:p>
        </w:tc>
        <w:tc>
          <w:tcPr>
            <w:tcW w:type="dxa" w:w="5112"/>
            <w:shd w:fill="F2F6F6"/>
            <w:vAlign w:val="center"/>
            <w:tcMar>
              <w:top w:w="100" w:type="dxa"/>
              <w:start w:w="130" w:type="dxa"/>
              <w:bottom w:w="100" w:type="dxa"/>
              <w:end w:w="130" w:type="dxa"/>
            </w:tcMar>
          </w:tcPr>
          <w:p>
            <w:r>
              <w:rPr>
                <w:rFonts w:ascii="Aptos" w:hAnsi="Aptos"/>
                <w:sz w:val="16"/>
              </w:rPr>
              <w:t>4104 requests the exact service startup; no matching 7040 confirms execution.</w:t>
            </w:r>
          </w:p>
        </w:tc>
      </w:tr>
      <w:tr>
        <w:tc>
          <w:tcPr>
            <w:tcW w:type="dxa" w:w="259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3 · Service cycle</w:t>
            </w:r>
          </w:p>
        </w:tc>
        <w:tc>
          <w:tcPr>
            <w:tcW w:type="dxa" w:w="2664"/>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11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Two 7040 records.</w:t>
            </w:r>
          </w:p>
        </w:tc>
      </w:tr>
      <w:tr>
        <w:tc>
          <w:tcPr>
            <w:tcW w:type="dxa" w:w="259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3 · Process lifecycle</w:t>
            </w:r>
          </w:p>
        </w:tc>
        <w:tc>
          <w:tcPr>
            <w:tcW w:type="dxa" w:w="2664"/>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11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Sysmon 1 + Sysmon 5.</w:t>
            </w:r>
          </w:p>
        </w:tc>
      </w:tr>
      <w:tr>
        <w:tc>
          <w:tcPr>
            <w:tcW w:type="dxa" w:w="259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3 · Task persists</w:t>
            </w:r>
          </w:p>
        </w:tc>
        <w:tc>
          <w:tcPr>
            <w:tcW w:type="dxa" w:w="2664"/>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112"/>
            <w:shd w:fill="FFFFFF"/>
            <w:vAlign w:val="center"/>
            <w:tcMar>
              <w:top w:w="100" w:type="dxa"/>
              <w:start w:w="130" w:type="dxa"/>
              <w:bottom w:w="100" w:type="dxa"/>
              <w:end w:w="130" w:type="dxa"/>
            </w:tcMar>
          </w:tcPr>
          <w:p>
            <w:r>
              <w:rPr>
                <w:rFonts w:ascii="Aptos" w:hAnsi="Aptos"/>
                <w:sz w:val="16"/>
              </w:rPr>
              <w:t>Exact Task Scheduler 106 plus PowerShell 4104 naming the same task/action.</w:t>
            </w:r>
          </w:p>
        </w:tc>
      </w:tr>
      <w:tr>
        <w:tc>
          <w:tcPr>
            <w:tcW w:type="dxa" w:w="3331"/>
          </w:tcPr>
          <w:p>
            <w:r>
              <w:t>4 · Service mode / A→B</w:t>
            </w:r>
          </w:p>
        </w:tc>
        <w:tc>
          <w:tcPr>
            <w:tcW w:type="dxa" w:w="3331"/>
          </w:tcPr>
          <w:p>
            <w:r>
              <w:t>CONSISTENT</w:t>
            </w:r>
          </w:p>
        </w:tc>
        <w:tc>
          <w:tcPr>
            <w:tcW w:type="dxa" w:w="3331"/>
          </w:tcPr>
          <w:p>
            <w:r>
              <w:t>7040 Manual→Automatic + PID 7460 Sysmon 1 + stage-A 4104.</w:t>
            </w:r>
          </w:p>
        </w:tc>
      </w:tr>
      <w:tr>
        <w:tc>
          <w:tcPr>
            <w:tcW w:type="dxa" w:w="3331"/>
          </w:tcPr>
          <w:p>
            <w:r>
              <w:t>4 · Service image / A→B</w:t>
            </w:r>
          </w:p>
        </w:tc>
        <w:tc>
          <w:tcPr>
            <w:tcW w:type="dxa" w:w="3331"/>
          </w:tcPr>
          <w:p>
            <w:r>
              <w:t>CONSISTENT</w:t>
            </w:r>
          </w:p>
        </w:tc>
        <w:tc>
          <w:tcPr>
            <w:tcW w:type="dxa" w:w="3331"/>
          </w:tcPr>
          <w:p>
            <w:r>
              <w:t>Sysmon 1 for PID 7460 + stage-B 4104.</w:t>
            </w:r>
          </w:p>
        </w:tc>
      </w:tr>
      <w:tr>
        <w:tc>
          <w:tcPr>
            <w:tcW w:type="dxa" w:w="3331"/>
          </w:tcPr>
          <w:p>
            <w:r>
              <w:t>4 · Startup task / B→C</w:t>
            </w:r>
          </w:p>
        </w:tc>
        <w:tc>
          <w:tcPr>
            <w:tcW w:type="dxa" w:w="3331"/>
          </w:tcPr>
          <w:p>
            <w:r>
              <w:t>CONSISTENT</w:t>
            </w:r>
          </w:p>
        </w:tc>
        <w:tc>
          <w:tcPr>
            <w:tcW w:type="dxa" w:w="3331"/>
          </w:tcPr>
          <w:p>
            <w:r>
              <w:t>Task Scheduler 106 + stage-B 4104.</w:t>
            </w:r>
          </w:p>
        </w:tc>
      </w:tr>
      <w:tr>
        <w:tc>
          <w:tcPr>
            <w:tcW w:type="dxa" w:w="3331"/>
          </w:tcPr>
          <w:p>
            <w:r>
              <w:t>4 · Listener process / B→C</w:t>
            </w:r>
          </w:p>
        </w:tc>
        <w:tc>
          <w:tcPr>
            <w:tcW w:type="dxa" w:w="3331"/>
          </w:tcPr>
          <w:p>
            <w:r>
              <w:t>CONSISTENT</w:t>
            </w:r>
          </w:p>
        </w:tc>
        <w:tc>
          <w:tcPr>
            <w:tcW w:type="dxa" w:w="3331"/>
          </w:tcPr>
          <w:p>
            <w:r>
              <w:t>Sysmon 1 for PID 7520 + stage-B 4104.</w:t>
            </w:r>
          </w:p>
        </w:tc>
      </w:tr>
      <w:tr>
        <w:tc>
          <w:tcPr>
            <w:tcW w:type="dxa" w:w="3331"/>
          </w:tcPr>
          <w:p>
            <w:r>
              <w:t>4 · Listener / B→C</w:t>
            </w:r>
          </w:p>
        </w:tc>
        <w:tc>
          <w:tcPr>
            <w:tcW w:type="dxa" w:w="3331"/>
          </w:tcPr>
          <w:p>
            <w:r>
              <w:t>CONSISTENT</w:t>
            </w:r>
          </w:p>
        </w:tc>
        <w:tc>
          <w:tcPr>
            <w:tcW w:type="dxa" w:w="3331"/>
          </w:tcPr>
          <w:p>
            <w:r>
              <w:t>Security 5154 for TCP 8448/PID 7520 + stage-B 4104.</w:t>
            </w:r>
          </w:p>
        </w:tc>
      </w:tr>
      <w:tr>
        <w:tc>
          <w:tcPr>
            <w:tcW w:type="dxa" w:w="259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Final · Service</w:t>
            </w:r>
          </w:p>
        </w:tc>
        <w:tc>
          <w:tcPr>
            <w:tcW w:type="dxa" w:w="2664"/>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11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Two 7040 records.</w:t>
            </w:r>
          </w:p>
        </w:tc>
      </w:tr>
      <w:tr>
        <w:tc>
          <w:tcPr>
            <w:tcW w:type="dxa" w:w="259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Final · Process</w:t>
            </w:r>
          </w:p>
        </w:tc>
        <w:tc>
          <w:tcPr>
            <w:tcW w:type="dxa" w:w="2664"/>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112"/>
            <w:shd w:fill="FFFFFF"/>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Sysmon 1 + Sysmon 5.</w:t>
            </w:r>
          </w:p>
        </w:tc>
      </w:tr>
      <w:tr>
        <w:tc>
          <w:tcPr>
            <w:tcW w:type="dxa" w:w="259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Final · Listener</w:t>
            </w:r>
          </w:p>
        </w:tc>
        <w:tc>
          <w:tcPr>
            <w:tcW w:type="dxa" w:w="2664"/>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PARTIALLY_EXPLAINED</w:t>
            </w:r>
          </w:p>
        </w:tc>
        <w:tc>
          <w:tcPr>
            <w:tcW w:type="dxa" w:w="5112"/>
            <w:shd w:fill="F2F6F6"/>
            <w:vAlign w:val="center"/>
            <w:tcMar>
              <w:top w:w="100" w:type="dxa"/>
              <w:start w:w="130" w:type="dxa"/>
              <w:bottom w:w="100" w:type="dxa"/>
              <w:end w:w="130" w:type="dxa"/>
            </w:tcMar>
          </w:tcPr>
          <w:p>
            <w:r>
              <w:rPr>
                <w:rFonts w:ascii="Aptos" w:hAnsi="Aptos"/>
                <w:sz w:val="16"/>
              </w:rPr>
              <w:t>One matching 5154 OPEN; 4104 and parent PID link the owner to the child’s malicious script; no Wazuh CLOSE.</w:t>
            </w:r>
          </w:p>
        </w:tc>
      </w:tr>
      <w:tr>
        <w:tc>
          <w:tcPr>
            <w:tcW w:type="dxa" w:w="2592"/>
            <w:shd w:fill="FFFFFF"/>
            <w:vAlign w:val="center"/>
            <w:tcMar>
              <w:top w:w="100" w:type="dxa"/>
              <w:start w:w="130" w:type="dxa"/>
              <w:bottom w:w="100" w:type="dxa"/>
              <w:end w:w="130" w:type="dxa"/>
            </w:tcMar>
          </w:tcPr>
          <w:p>
            <w:r>
              <w:rPr>
                <w:rFonts w:ascii="Aptos" w:hAnsi="Aptos"/>
                <w:sz w:val="16"/>
              </w:rPr>
              <w:t>Final · Task</w:t>
            </w:r>
          </w:p>
        </w:tc>
        <w:tc>
          <w:tcPr>
            <w:tcW w:type="dxa" w:w="2664"/>
            <w:shd w:fill="FFFFFF"/>
            <w:vAlign w:val="center"/>
            <w:tcMar>
              <w:top w:w="100" w:type="dxa"/>
              <w:start w:w="130" w:type="dxa"/>
              <w:bottom w:w="100" w:type="dxa"/>
              <w:end w:w="130" w:type="dxa"/>
            </w:tcMar>
          </w:tcPr>
          <w:p>
            <w:r>
              <w:rPr>
                <w:rFonts w:ascii="Aptos" w:hAnsi="Aptos"/>
                <w:sz w:val="16"/>
              </w:rPr>
              <w:t>PARTIALLY_EXPLAINED</w:t>
            </w:r>
          </w:p>
        </w:tc>
        <w:tc>
          <w:tcPr>
            <w:tcW w:type="dxa" w:w="5112"/>
            <w:shd w:fill="FFFFFF"/>
            <w:vAlign w:val="center"/>
            <w:tcMar>
              <w:top w:w="100" w:type="dxa"/>
              <w:start w:w="130" w:type="dxa"/>
              <w:bottom w:w="100" w:type="dxa"/>
              <w:end w:w="130" w:type="dxa"/>
            </w:tcMar>
          </w:tcPr>
          <w:p>
            <w:r>
              <w:rPr>
                <w:rFonts w:ascii="Aptos" w:hAnsi="Aptos"/>
                <w:sz w:val="16"/>
              </w:rPr>
              <w:t>4104 names the exact task/action and aligns with CSG persistence; no matching 106.</w:t>
            </w:r>
          </w:p>
        </w:tc>
      </w:tr>
      <w:tr>
        <w:tc>
          <w:tcPr>
            <w:tcW w:type="dxa" w:w="2592"/>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Final · Registry</w:t>
            </w:r>
          </w:p>
        </w:tc>
        <w:tc>
          <w:tcPr>
            <w:tcW w:type="dxa" w:w="2664"/>
            <w:shd w:fill="F2F6F6"/>
            <w:vAlign w:val="center"/>
            <w:tcMar>
              <w:top w:w="100" w:type="dxa"/>
              <w:start w:w="130" w:type="dxa"/>
              <w:bottom w:w="100" w:type="dxa"/>
              <w:end w:w="130" w:type="dxa"/>
            </w:tcMar>
          </w:tcPr>
          <w:p>
            <w:pPr>
              <w:spacing w:after="0"/>
            </w:pPr>
            <w:r>
              <w:rPr>
                <w:rFonts w:ascii="Aptos" w:hAnsi="Aptos"/>
                <w:sz w:val="16"/>
              </w:rPr>
            </w:r>
            <w:r>
              <w:rPr>
                <w:rFonts w:ascii="Aptos" w:hAnsi="Aptos"/>
                <w:b w:val="0"/>
                <w:color w:val="20343B"/>
                <w:sz w:val="16"/>
              </w:rPr>
              <w:t>CONSISTENT</w:t>
            </w:r>
          </w:p>
        </w:tc>
        <w:tc>
          <w:tcPr>
            <w:tcW w:type="dxa" w:w="5112"/>
            <w:shd w:fill="F2F6F6"/>
            <w:vAlign w:val="center"/>
            <w:tcMar>
              <w:top w:w="100" w:type="dxa"/>
              <w:start w:w="130" w:type="dxa"/>
              <w:bottom w:w="100" w:type="dxa"/>
              <w:end w:w="130" w:type="dxa"/>
            </w:tcMar>
          </w:tcPr>
          <w:p>
            <w:r>
              <w:rPr>
                <w:rFonts w:ascii="Aptos" w:hAnsi="Aptos"/>
                <w:sz w:val="16"/>
              </w:rPr>
              <w:t>Exact Sysmon 13 write plus 4104 requesting the same Run value/data.</w:t>
            </w:r>
          </w:p>
        </w:tc>
      </w:tr>
    </w:tbl>
    <w:p>
      <w:pPr>
        <w:spacing w:after="0"/>
      </w:pPr>
    </w:p>
    <w:p>
      <w:pPr>
        <w:pStyle w:val="Heading1"/>
      </w:pPr>
      <w:r>
        <w:t>Current Wazuh search and time controls</w:t>
      </w:r>
    </w:p>
    <w:p>
      <w:r>
        <w:t>The archived event console searches automatically. Students can type a field query or free text, press Enter to apply immediately, or change any structured filter. A 350 ms debounce limits requests while preserving responsive keyboard use.</w:t>
      </w:r>
    </w:p>
    <w:p>
      <w:r>
        <w:t>Text, category, event type, Windows event ID, provider, host, and time range combine into one query. The Active Filters row makes each active condition visible. Clear filters removes the text and structured filters and restores the complete case archive window.</w:t>
      </w:r>
    </w:p>
    <w:p>
      <w:r>
        <w:t>The From and To controls accept a custom local date/time range. Full case window and the Last 5 minutes, Last 15 minutes, Last 30 minutes, and Last 1 hour presets are anchored to the archived case-window end. The event-volume chart reflects the selected range; clicking a minute or dragging across minutes updates the same From/To fields, and manual time edits highlight the corresponding chart range.</w:t>
      </w:r>
    </w:p>
    <w:p>
      <w:r>
        <w:t>An empty result set is reported as “No events match the current search and filters.” It describes the active query, not telemetry availability.</w:t>
      </w:r>
    </w:p>
    <w:sectPr w:rsidR="00FC693F" w:rsidRPr="0006063C" w:rsidSect="00034616">
      <w:headerReference w:type="default" r:id="rId9"/>
      <w:footerReference w:type="default" r:id="rId10"/>
      <w:pgSz w:w="12240" w:h="15840"/>
      <w:pgMar w:top="979" w:right="936" w:bottom="936" w:left="93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77E"/>
        <w:sz w:val="16"/>
      </w:rPr>
      <w:t xml:space="preserve">INSTRUCTOR REFERENCE  •  </w:t>
    </w:r>
    <w:r>
      <w:rPr>
        <w:color w:val="64777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77E"/>
        <w:sz w:val="15"/>
      </w:rPr>
      <w:t>CSG ENDPOINT DETECTIVE  /  PROFESSOR’S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34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13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8C82"/>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1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1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00"/>
    </w:pPr>
    <w:rPr>
      <w:rFonts w:asciiTheme="majorHAnsi" w:eastAsiaTheme="majorEastAsia" w:hAnsiTheme="majorHAnsi" w:cstheme="majorBidi" w:ascii="Aptos" w:hAnsi="Aptos"/>
      <w:b w:val="0"/>
      <w:i/>
      <w:iCs/>
      <w:color w:val="64777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CSG Endpoint Detective — Professor-Led Lab Walkthrough</dc:title>
  <dc:subject>Instructor teaching script, case walkthrough, answer key, and scoring guidance</dc:subject>
  <dc:creator>CSG Endpoint Detective</dc:creator>
  <cp:keywords>CSG, Wazuh, endpoint investigation, instructor, walkthrough</cp:keywords>
  <dc:description>generated by python-docx</dc:description>
  <cp:lastModifiedBy/>
  <cp:revision>1</cp:revision>
  <dcterms:created xsi:type="dcterms:W3CDTF">2013-12-23T23:15:00Z</dcterms:created>
  <dcterms:modified xsi:type="dcterms:W3CDTF">2013-12-23T23:15:00Z</dcterms:modified>
  <cp:category/>
</cp:coreProperties>
</file>