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Segoe UI" w:cs="Segoe UI" w:eastAsia="Segoe UI" w:hAnsi="Segoe UI"/>
          <w:b/>
          <w:bCs/>
          <w:color w:val="0F2C59"/>
          <w:spacing w:val="25"/>
          <w:sz w:val="36"/>
          <w:szCs w:val="36"/>
        </w:rPr>
        <w:t xml:space="preserve">HEMANT PANCHAL</w:t>
      </w:r>
    </w:p>
    <w:p>
      <w:pPr>
        <w:spacing w:after="80" w:before="0"/>
        <w:jc w:val="center"/>
      </w:pPr>
      <w:r>
        <w:rPr>
          <w:rFonts w:ascii="Segoe UI" w:cs="Segoe UI" w:eastAsia="Segoe UI" w:hAnsi="Segoe UI"/>
          <w:b/>
          <w:bCs/>
          <w:color w:val="1E40AF"/>
          <w:spacing w:val="10"/>
          <w:sz w:val="21"/>
          <w:szCs w:val="21"/>
        </w:rPr>
        <w:t xml:space="preserve">TECHNICAL ARCHITECT | ENTERPRISE SOLUTION ARCHITECT | PRINCIPAL ENGINEER</w:t>
      </w:r>
    </w:p>
    <w:p>
      <w:pPr>
        <w:spacing w:after="140" w:before="0"/>
        <w:jc w:val="center"/>
      </w:pPr>
      <w:r>
        <w:rPr>
          <w:rFonts w:ascii="Segoe UI" w:cs="Segoe UI" w:eastAsia="Segoe UI" w:hAnsi="Segoe UI"/>
          <w:color w:val="475569"/>
          <w:sz w:val="18"/>
          <w:szCs w:val="18"/>
        </w:rPr>
        <w:t xml:space="preserve">📍 Mumbai, India  |  📞 +91-8108710030  |  ✉ career.hemantpanchal67@gmail.com  |  🌐 Total Experience: 15+ Years</w:t>
      </w:r>
    </w:p>
    <w:p>
      <w:pPr>
        <w:pBdr>
          <w:bottom w:val="single" w:color="0F2C59" w:sz="14" w:space="4"/>
        </w:pBdr>
        <w:spacing w:after="80" w:before="240"/>
      </w:pPr>
      <w:r>
        <w:rPr>
          <w:rFonts w:ascii="Segoe UI" w:cs="Segoe UI" w:eastAsia="Segoe UI" w:hAnsi="Segoe UI"/>
          <w:b/>
          <w:bCs/>
          <w:color w:val="0F2C59"/>
          <w:spacing w:val="20"/>
          <w:sz w:val="23"/>
          <w:szCs w:val="23"/>
        </w:rPr>
        <w:t xml:space="preserve">EXECUTIVE SUMMARY</w:t>
      </w:r>
    </w:p>
    <w:p>
      <w:pPr>
        <w:spacing w:after="60" w:before="40" w:line="276"/>
      </w:pPr>
      <w:r>
        <w:rPr>
          <w:rFonts w:ascii="Segoe UI" w:cs="Segoe UI" w:eastAsia="Segoe UI" w:hAnsi="Segoe UI"/>
          <w:color w:val="1E293B"/>
          <w:sz w:val="19"/>
          <w:szCs w:val="19"/>
        </w:rPr>
        <w:t xml:space="preserve">Accomplished and strategic </w:t>
      </w: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Technical Architect &amp; Enterprise Solution Architect with 15+ years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of rich experience leading end-to-end architecture, solution design, and engineering governance for large-scale enterprise applications across </w:t>
      </w: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Banking/FinTech, Enterprise HRMS SaaS (900+ clients), Fortune 14 Global Retail (Costco Wholesale), and High-Concurrency Sports Gaming Platforms.</w:t>
      </w:r>
    </w:p>
    <w:p>
      <w:pPr>
        <w:spacing w:after="60" w:before="0" w:line="276"/>
      </w:pPr>
      <w:r>
        <w:rPr>
          <w:rFonts w:ascii="Segoe UI" w:cs="Segoe UI" w:eastAsia="Segoe UI" w:hAnsi="Segoe UI"/>
          <w:color w:val="1E293B"/>
          <w:sz w:val="19"/>
          <w:szCs w:val="19"/>
        </w:rPr>
        <w:t xml:space="preserve">Proven expertise in designing and architecting extensible low-code/no-code enterprise builder ecosystems—including </w:t>
      </w:r>
      <w:r>
        <w:rPr>
          <w:rFonts w:ascii="Segoe UI" w:cs="Segoe UI" w:eastAsia="Segoe UI" w:hAnsi="Segoe UI"/>
          <w:b/>
          <w:bCs/>
          <w:color w:val="0F2C59"/>
          <w:sz w:val="19"/>
          <w:szCs w:val="19"/>
        </w:rPr>
        <w:t xml:space="preserve">Form Builders, Workflow Orchestration Engines, Business Rule Engines (BRE), Document &amp; Report Engines, SLA &amp; Approval Policy Engines, and Multichannel Notification Engines.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Recognized for deep technical mastery across modern .NET ecosystems (.NET 10/8/Core), Microservices, Distributed Systems, Event-Driven Architecture (Kafka/RabbitMQ), Cloud (Azure/AWS), Kubernetes containerization, Database Design (PostgreSQL/Supabase/SQL Server), Zero-Trust Security, High Availability, and Architecture Governance (ADRs).</w:t>
      </w:r>
    </w:p>
    <w:p>
      <w:pPr>
        <w:pBdr>
          <w:bottom w:val="single" w:color="0F2C59" w:sz="14" w:space="4"/>
        </w:pBdr>
        <w:spacing w:after="80" w:before="240"/>
      </w:pPr>
      <w:r>
        <w:rPr>
          <w:rFonts w:ascii="Segoe UI" w:cs="Segoe UI" w:eastAsia="Segoe UI" w:hAnsi="Segoe UI"/>
          <w:b/>
          <w:bCs/>
          <w:color w:val="0F2C59"/>
          <w:spacing w:val="20"/>
          <w:sz w:val="23"/>
          <w:szCs w:val="23"/>
        </w:rPr>
        <w:t xml:space="preserve">KEY SKILLS &amp; TECHNICAL COMPETENCIES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8"/>
                <w:szCs w:val="18"/>
              </w:rPr>
              <w:t xml:space="preserve">Architecture &amp; Design</w:t>
            </w:r>
          </w:p>
        </w:tc>
        <w:tc>
          <w:tcPr>
            <w:tcW w:type="pct" w:w="7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Enterprise Architecture, Solution Design, Microservices, Distributed Systems, Event-Driven Architecture (EDA), Domain-Driven Design (DDD), Clean Architecture, SOLID Principles, High Availability (HA), Scalability, Disaster Recovery (DR), Fault Tolerance, Architecture Decision Records (ADRs), Architecture Governance</w:t>
            </w:r>
          </w:p>
        </w:tc>
      </w:tr>
      <w:tr>
        <w:tc>
          <w:tcPr>
            <w:tcW w:type="pct" w:w="2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8"/>
                <w:szCs w:val="18"/>
              </w:rPr>
              <w:t xml:space="preserve">Enterprise Builders &amp; Engines</w:t>
            </w:r>
          </w:p>
        </w:tc>
        <w:tc>
          <w:tcPr>
            <w:tcW w:type="pct" w:w="7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Form Builder &amp; Dynamic Attribute Builder, Workflow Orchestration Builder &amp; Engine, Business Rule Engine (BRE), Report Builder &amp; Report Engine, Document Builder &amp; Document Engine, SLA &amp; Approval Policy Builder &amp; Engine, Notification Builder &amp; Event Engine</w:t>
            </w:r>
          </w:p>
        </w:tc>
      </w:tr>
      <w:tr>
        <w:tc>
          <w:tcPr>
            <w:tcW w:type="pct" w:w="2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8"/>
                <w:szCs w:val="18"/>
              </w:rPr>
              <w:t xml:space="preserve">Languages &amp; Frameworks</w:t>
            </w:r>
          </w:p>
        </w:tc>
        <w:tc>
          <w:tcPr>
            <w:tcW w:type="pct" w:w="7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.NET 10, .NET 8, .NET Core, ASP.NET Core Web API, ASP.NET MVC, C#, Node.js, JavaScript, jQuery, HTML5, CSS3, Windows Services</w:t>
            </w:r>
          </w:p>
        </w:tc>
      </w:tr>
      <w:tr>
        <w:tc>
          <w:tcPr>
            <w:tcW w:type="pct" w:w="2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8"/>
                <w:szCs w:val="18"/>
              </w:rPr>
              <w:t xml:space="preserve">Databases &amp; Caching</w:t>
            </w:r>
          </w:p>
        </w:tc>
        <w:tc>
          <w:tcPr>
            <w:tcW w:type="pct" w:w="7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PostgreSQL, Supabase, Microsoft SQL Server, Oracle, Redis (Distributed Caching), Polyglot Persistence, Schema Design, Performance Indexing &amp; Query Tuning</w:t>
            </w:r>
          </w:p>
        </w:tc>
      </w:tr>
      <w:tr>
        <w:tc>
          <w:tcPr>
            <w:tcW w:type="pct" w:w="2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8"/>
                <w:szCs w:val="18"/>
              </w:rPr>
              <w:t xml:space="preserve">Messaging &amp; Integration</w:t>
            </w:r>
          </w:p>
        </w:tc>
        <w:tc>
          <w:tcPr>
            <w:tcW w:type="pct" w:w="7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Apache Kafka, RabbitMQ, Message Brokers, Asynchronous Queuing, RESTful API Architecture, Webhooks, Idempotency, Circuit Breaker, Resiliency Patterns</w:t>
            </w:r>
          </w:p>
        </w:tc>
      </w:tr>
      <w:tr>
        <w:tc>
          <w:tcPr>
            <w:tcW w:type="pct" w:w="2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8"/>
                <w:szCs w:val="18"/>
              </w:rPr>
              <w:t xml:space="preserve">Cloud, Containers &amp; DevOps</w:t>
            </w:r>
          </w:p>
        </w:tc>
        <w:tc>
          <w:tcPr>
            <w:tcW w:type="pct" w:w="7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Microsoft Azure, Amazon Web Services (AWS), Kubernetes, Docker Containerization, CI/CD Automation (GitHub Actions, Azure DevOps), SonarQube, Infrastructure as Code</w:t>
            </w:r>
          </w:p>
        </w:tc>
      </w:tr>
      <w:tr>
        <w:tc>
          <w:tcPr>
            <w:tcW w:type="pct" w:w="2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8"/>
                <w:szCs w:val="18"/>
              </w:rPr>
              <w:t xml:space="preserve">Security, Performance &amp; QA</w:t>
            </w:r>
          </w:p>
        </w:tc>
        <w:tc>
          <w:tcPr>
            <w:tcW w:type="pct" w:w="7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Zero-Trust Security, OAuth2, OIDC, Secrets Management, Audit Logging, JMeter, BlazeMeter, SonarQube Quality Gates, WCAG/ADA Compliance, Distributed Tracing &amp; APM</w:t>
            </w:r>
          </w:p>
        </w:tc>
      </w:tr>
      <w:tr>
        <w:tc>
          <w:tcPr>
            <w:tcW w:type="pct" w:w="28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8"/>
                <w:szCs w:val="18"/>
              </w:rPr>
              <w:t xml:space="preserve">Leadership &amp; Governance</w:t>
            </w:r>
          </w:p>
        </w:tc>
        <w:tc>
          <w:tcPr>
            <w:tcW w:type="pct" w:w="7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Technical Leadership, Architecture Reviews, Code Quality Enforcement, Tech Debt Remediation, Engineering Mentorship, Agile/Scrum, Stakeholder Management</w:t>
            </w:r>
          </w:p>
        </w:tc>
      </w:tr>
    </w:tbl>
    <w:p>
      <w:pPr>
        <w:pBdr>
          <w:bottom w:val="single" w:color="0F2C59" w:sz="14" w:space="4"/>
        </w:pBdr>
        <w:spacing w:after="80" w:before="240"/>
      </w:pPr>
      <w:r>
        <w:rPr>
          <w:rFonts w:ascii="Segoe UI" w:cs="Segoe UI" w:eastAsia="Segoe UI" w:hAnsi="Segoe UI"/>
          <w:b/>
          <w:bCs/>
          <w:color w:val="0F2C59"/>
          <w:spacing w:val="20"/>
          <w:sz w:val="23"/>
          <w:szCs w:val="23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20" w:before="10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21"/>
                <w:szCs w:val="21"/>
              </w:rPr>
              <w:t xml:space="preserve">Technical Architect</w:t>
            </w:r>
            <w:r>
              <w:rPr>
                <w:rFonts w:ascii="Segoe UI" w:cs="Segoe UI" w:eastAsia="Segoe UI" w:hAnsi="Segoe UI"/>
                <w:b w:val="false"/>
                <w:bCs w:val="false"/>
                <w:color w:val="1E40AF"/>
                <w:sz w:val="20"/>
                <w:szCs w:val="20"/>
              </w:rPr>
              <w:t xml:space="preserve"> |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Enablistar Pvt. Ltd.</w:t>
            </w:r>
          </w:p>
          <w:p>
            <w:pPr>
              <w:spacing w:after="60" w:before="0"/>
            </w:pPr>
            <w:r>
              <w:rPr>
                <w:rFonts w:ascii="Segoe UI" w:cs="Segoe UI" w:eastAsia="Segoe UI" w:hAnsi="Segoe UI"/>
                <w:i/>
                <w:iCs/>
                <w:color w:val="475569"/>
                <w:sz w:val="18"/>
                <w:szCs w:val="18"/>
              </w:rPr>
              <w:t xml:space="preserve">Domain: Banking &amp; Enterprise Financial Platforms</w:t>
            </w:r>
          </w:p>
        </w:tc>
        <w:tc>
          <w:tcPr>
            <w:tcW w:type="pct" w:w="30%"/>
          </w:tcPr>
          <w:p>
            <w:pPr>
              <w:spacing w:after="60" w:before="10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E40AF"/>
                <w:sz w:val="18"/>
                <w:szCs w:val="18"/>
              </w:rPr>
              <w:t xml:space="preserve">April 2024 – Present</w:t>
            </w:r>
          </w:p>
        </w:tc>
      </w:tr>
    </w:tbl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Enterprise Architecture &amp; Solution Design: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Responsible for providing end-to-end technical architecture and solution design for enterprise applications, ensuring technology stack alignment, coding standards, security, high performance, scalability, and operational reliability throughout the application lifecycle.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Core Low-Code Builder &amp; Engine Ecosystem: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Architected and delivered full-lifecycle enterprise builders and runtime engines: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  • Form &amp; Attribute Builder: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Architected dynamic, schema-driven Form Builder and Dynamic Attribute Builder with multi-level validations, contextual conditional rendering, and dynamic state management.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  • Workflow Builder &amp; Orchestration Engine: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Engineered state-machine-driven workflow engine supporting complex human-in-the-loop task routing, parallel execution branches, automated triggers, and state persistence.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  • Business Rule Engine (BRE):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Designed high-throughput declarative business rule engine enabling business users to configure complex decision trees and business logic dynamically without code deployments.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  • Report Builder &amp; Report Engine: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Architected self-service parameterized Report Builder and distributed Report Engine capable of high-volume data aggregation, asynchronous report generation, and multi-format exports.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  • Document Builder &amp; Document Engine: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Designed dynamic document template builder and high-speed assembly engine with variable data binding, barcode/QR generation, and secure rendering.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  • SLA &amp; Approval Policy Builder &amp; Engine: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Built hierarchical multi-tier approval matrix engine with real-time SLA tracking, automated milestone escalation, breach alerting, and dynamic delegation.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  • Notification Builder &amp; Engine: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Architected omnichannel notification builder and dispatch engine (Email, SMS, Push, In-App, Webhooks) with template versioning, rate limiting, and resilient delivery queues.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System Architecture &amp; Component Boundaries: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Defined and validated end-to-end system architecture, service boundaries, data flows, integration patterns, and synchronous/asynchronous communication mechanisms across distributed services.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Technology Evaluation &amp; Stack Justification: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Selected and justified technology stacks, frameworks, databases, cloud services, messaging middleware, and caching layers with comprehensive trade-off and cost-benefit analysis.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Engineering Excellence &amp; Clean Architecture: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Defined and enforced rigorous coding standards, SOLID principles, Clean Architecture, Domain-Driven Design (DDD), and automated SonarQube quality gates across engineering teams.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API Architecture &amp; Resiliency: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Ensured industry-standard API design, semantic versioning, OAuth2/OIDC authentication, authorization, error handling, resiliency, retry policies, timeouts, idempotency, and backward compatibility.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High Availability &amp; Disaster Recovery (HA/DR):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Architected systems for 99.99% high availability, fault tolerance, horizontal elasticity, automated backup strategies, multi-region disaster recovery, and continuous business continuity.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Enterprise Security &amp; Compliance: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Addressed enterprise security requirements including zero-trust data encryption (at rest/in transit), centralized secrets management, tamper-evident audit logging, and compliance standards.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CI/CD, Kubernetes &amp; Cloud Infrastructure: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Defined containerization standards, Kubernetes orchestration, automated testing suites, deployment/rollback pipelines, and immutable infrastructure configurations.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Event-Driven Integrations: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Designed reliable, decoupled integrations leveraging RESTful APIs, Apache Kafka event streaming, message queues, and secure webhooks.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Architecture Governance &amp; ADRs: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Maintained comprehensive Architecture Decision Records (ADRs), conducted architectural design reviews, POCs, and technology evaluations, balancing business goals with technical excellence.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Technical Leadership &amp; Mentorship: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Provided hands-on technical guidance, resolved critical architectural and production bottlenecks, and mentored development leads and engineers on best practices.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20" w:before="10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21"/>
                <w:szCs w:val="21"/>
              </w:rPr>
              <w:t xml:space="preserve">Project Manager / Technical Lead</w:t>
            </w:r>
            <w:r>
              <w:rPr>
                <w:rFonts w:ascii="Segoe UI" w:cs="Segoe UI" w:eastAsia="Segoe UI" w:hAnsi="Segoe UI"/>
                <w:b w:val="false"/>
                <w:bCs w:val="false"/>
                <w:color w:val="1E40AF"/>
                <w:sz w:val="20"/>
                <w:szCs w:val="20"/>
              </w:rPr>
              <w:t xml:space="preserve"> |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Cnergyis Infotech India Pvt. Ltd. (ZingHR)</w:t>
            </w:r>
          </w:p>
          <w:p>
            <w:pPr>
              <w:spacing w:after="60" w:before="0"/>
            </w:pPr>
            <w:r>
              <w:rPr>
                <w:rFonts w:ascii="Segoe UI" w:cs="Segoe UI" w:eastAsia="Segoe UI" w:hAnsi="Segoe UI"/>
                <w:i/>
                <w:iCs/>
                <w:color w:val="475569"/>
                <w:sz w:val="18"/>
                <w:szCs w:val="18"/>
              </w:rPr>
              <w:t xml:space="preserve">Domain: Enterprise HRMS SaaS Platform (900+ Enterprise Clients)</w:t>
            </w:r>
          </w:p>
        </w:tc>
        <w:tc>
          <w:tcPr>
            <w:tcW w:type="pct" w:w="30%"/>
          </w:tcPr>
          <w:p>
            <w:pPr>
              <w:spacing w:after="60" w:before="10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E40AF"/>
                <w:sz w:val="18"/>
                <w:szCs w:val="18"/>
              </w:rPr>
              <w:t xml:space="preserve">March 2023 – April 2024</w:t>
            </w:r>
          </w:p>
        </w:tc>
      </w:tr>
    </w:tbl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Core Payroll Modernization: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Architected and led the engineering transformation of the core Payroll Engine into a highly generic, multi-tenant system to seamlessly accommodate diverse enterprise business rules across 900+ clients.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Microservices &amp; Event Streaming: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Implemented scalable microservices architecture utilizing .NET 8, Apache Kafka for decoupled event messaging, and Supabase (PostgreSQL) for resilient high-volume transaction processing.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Delivery &amp; Engineering Leadership: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Led end-to-end development, code reviews, technical documentation, architectural grooming, and daily Scrum ceremonies across cross-functional engineering squads.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Stakeholder &amp; Client Alignment: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Partnered closely with Implementation Specialists, Delivery Owners, and Product Managers to translate complex HRMS functional requirements into scalable, reusable architectural solutions.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20" w:before="10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21"/>
                <w:szCs w:val="21"/>
              </w:rPr>
              <w:t xml:space="preserve">Technology Lead</w:t>
            </w:r>
            <w:r>
              <w:rPr>
                <w:rFonts w:ascii="Segoe UI" w:cs="Segoe UI" w:eastAsia="Segoe UI" w:hAnsi="Segoe UI"/>
                <w:b w:val="false"/>
                <w:bCs w:val="false"/>
                <w:color w:val="1E40AF"/>
                <w:sz w:val="20"/>
                <w:szCs w:val="20"/>
              </w:rPr>
              <w:t xml:space="preserve"> |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Infogain Software Engineering Business Technology</w:t>
            </w:r>
          </w:p>
          <w:p>
            <w:pPr>
              <w:spacing w:after="60" w:before="0"/>
            </w:pPr>
            <w:r>
              <w:rPr>
                <w:rFonts w:ascii="Segoe UI" w:cs="Segoe UI" w:eastAsia="Segoe UI" w:hAnsi="Segoe UI"/>
                <w:i/>
                <w:iCs/>
                <w:color w:val="475569"/>
                <w:sz w:val="18"/>
                <w:szCs w:val="18"/>
              </w:rPr>
              <w:t xml:space="preserve">Client: Costco Wholesale Corporation (Fortune 14 Global Retailer) – US &amp; Canada</w:t>
            </w:r>
          </w:p>
        </w:tc>
        <w:tc>
          <w:tcPr>
            <w:tcW w:type="pct" w:w="30%"/>
          </w:tcPr>
          <w:p>
            <w:pPr>
              <w:spacing w:after="60" w:before="10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E40AF"/>
                <w:sz w:val="18"/>
                <w:szCs w:val="18"/>
              </w:rPr>
              <w:t xml:space="preserve">September 2019 – March 2023</w:t>
            </w:r>
          </w:p>
        </w:tc>
      </w:tr>
    </w:tbl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Global eCommerce Solution Leadership: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Led end-to-end solution design, technical architecture, and delivery of the mission-critical eCommerce Tire Platform for Costco Wholesale (Fortune 14), supporting multi-million users across US and Canada.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Tire Inventory Microservice Module: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Spearheaded the Tire Inventory module architecture, leveraging Supabase (PostgreSQL) and Redis caching alongside enterprise systems, achieving sub-second catalog and inventory search performance.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Technology Stack: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ASP.NET MVC 5, C#, SQL Server, Supabase / PostgreSQL, Redis, Azure Cloud, jQuery, HTML5, BlazeMeter, SonarQube.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Quality, Accessibility &amp; Compliance: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Enforced stringent coding standards, WCAG/ADA accessibility compliance, SonarQube quality gates, and automated security vulnerability checks.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Performance Engineering &amp; Scalability: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Conducted comprehensive load and stress testing using BlazeMeter and JMeter, optimizing database execution plans, API throughput, and caching strategies for peak retail seasons (Black Friday/Cyber Monday).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Client Steering &amp; Delivery Management: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Led technical design reviews and roadmap discussions with Costco senior leadership and onsite architects; managed release planning, production rollouts, and L3 on-call incident resolution.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Award &amp; Recognition: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Conferred the prestigious "Star of the Month" award for outstanding technical delivery, architectural excellence, and engineering leadership on the Costco platform.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20" w:before="10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21"/>
                <w:szCs w:val="21"/>
              </w:rPr>
              <w:t xml:space="preserve">Senior Associate – Technical Lead</w:t>
            </w:r>
            <w:r>
              <w:rPr>
                <w:rFonts w:ascii="Segoe UI" w:cs="Segoe UI" w:eastAsia="Segoe UI" w:hAnsi="Segoe UI"/>
                <w:b w:val="false"/>
                <w:bCs w:val="false"/>
                <w:color w:val="1E40AF"/>
                <w:sz w:val="20"/>
                <w:szCs w:val="20"/>
              </w:rPr>
              <w:t xml:space="preserve"> |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Sportz Interactive Pvt. Ltd.</w:t>
            </w:r>
          </w:p>
          <w:p>
            <w:pPr>
              <w:spacing w:after="60" w:before="0"/>
            </w:pPr>
            <w:r>
              <w:rPr>
                <w:rFonts w:ascii="Segoe UI" w:cs="Segoe UI" w:eastAsia="Segoe UI" w:hAnsi="Segoe UI"/>
                <w:i/>
                <w:iCs/>
                <w:color w:val="475569"/>
                <w:sz w:val="18"/>
                <w:szCs w:val="18"/>
              </w:rPr>
              <w:t xml:space="preserve">Clients: UEFA Champions League, Yahoo Cricket, IPL, European Rugby (EPCR), ESPN CricInfo</w:t>
            </w:r>
          </w:p>
        </w:tc>
        <w:tc>
          <w:tcPr>
            <w:tcW w:type="pct" w:w="30%"/>
          </w:tcPr>
          <w:p>
            <w:pPr>
              <w:spacing w:after="60" w:before="10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E40AF"/>
                <w:sz w:val="18"/>
                <w:szCs w:val="18"/>
              </w:rPr>
              <w:t xml:space="preserve">October 2016 – September 2019</w:t>
            </w:r>
          </w:p>
        </w:tc>
      </w:tr>
    </w:tbl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High-Concurrency Gaming Platforms: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Architected and engineered backend systems for Daily Fantasy Cricket, Football, and Rugby games, delivering real-time, low-latency experiences during major global sporting events.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Distributed Web API &amp; Services: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Engineered high-performance Web APIs and Windows background services using .NET Core, ASP.NET, AWS cloud services, and PostgreSQL databases.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Real-time Simulation &amp; Point Calculation Engines: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Architected live match data ingestion pipelines, automated game simulation engines, real-time leaderboard ranking calculations, and instant point distribution logic.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Integrations &amp; API Contracts: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Led 3rd-party sports data feed integrations and authored standardized API documentation (Swagger/OpenAPI) for seamless web/mobile client communication.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20" w:before="10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21"/>
                <w:szCs w:val="21"/>
              </w:rPr>
              <w:t xml:space="preserve">Programmer Analyst</w:t>
            </w:r>
            <w:r>
              <w:rPr>
                <w:rFonts w:ascii="Segoe UI" w:cs="Segoe UI" w:eastAsia="Segoe UI" w:hAnsi="Segoe UI"/>
                <w:b w:val="false"/>
                <w:bCs w:val="false"/>
                <w:color w:val="1E40AF"/>
                <w:sz w:val="20"/>
                <w:szCs w:val="20"/>
              </w:rPr>
              <w:t xml:space="preserve"> |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Sodexo SVC India Pvt. Ltd.</w:t>
            </w:r>
          </w:p>
          <w:p>
            <w:pPr>
              <w:spacing w:after="60" w:before="0"/>
            </w:pPr>
            <w:r>
              <w:rPr>
                <w:rFonts w:ascii="Segoe UI" w:cs="Segoe UI" w:eastAsia="Segoe UI" w:hAnsi="Segoe UI"/>
                <w:i/>
                <w:iCs/>
                <w:color w:val="475569"/>
                <w:sz w:val="18"/>
                <w:szCs w:val="18"/>
              </w:rPr>
              <w:t xml:space="preserve">Projects: Enterprise Payment System (EPS), Voucher SWOS, SVAR, Marketing Applications</w:t>
            </w:r>
          </w:p>
        </w:tc>
        <w:tc>
          <w:tcPr>
            <w:tcW w:type="pct" w:w="30%"/>
          </w:tcPr>
          <w:p>
            <w:pPr>
              <w:spacing w:after="60" w:before="10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E40AF"/>
                <w:sz w:val="18"/>
                <w:szCs w:val="18"/>
              </w:rPr>
              <w:t xml:space="preserve">October 2014 – October 2016</w:t>
            </w:r>
          </w:p>
        </w:tc>
      </w:tr>
    </w:tbl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Payment &amp; Voucher Systems Architecture: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Developed and optimized core modules for Sodexo Enterprise Payment Systems (EPS) and Voucher management suites using ASP.NET MVC and SQL Server.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Database Architecture &amp; Optimization: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Architected and maintained complex database objects, stored procedures, triggers, and views; optimized heavy transactional queries for high-speed processing.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Modular Framework Refactoring: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Drove R&amp;D initiatives to refactor siloed application components into reusable, generic enterprise libraries, reducing redundant development efforts by 30%.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20" w:before="10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21"/>
                <w:szCs w:val="21"/>
              </w:rPr>
              <w:t xml:space="preserve">Software Developer</w:t>
            </w:r>
            <w:r>
              <w:rPr>
                <w:rFonts w:ascii="Segoe UI" w:cs="Segoe UI" w:eastAsia="Segoe UI" w:hAnsi="Segoe UI"/>
                <w:b w:val="false"/>
                <w:bCs w:val="false"/>
                <w:color w:val="1E40AF"/>
                <w:sz w:val="20"/>
                <w:szCs w:val="20"/>
              </w:rPr>
              <w:t xml:space="preserve"> |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Tara Jewels Pvt. Ltd.</w:t>
            </w:r>
          </w:p>
          <w:p>
            <w:pPr>
              <w:spacing w:after="60" w:before="0"/>
            </w:pPr>
            <w:r>
              <w:rPr>
                <w:rFonts w:ascii="Segoe UI" w:cs="Segoe UI" w:eastAsia="Segoe UI" w:hAnsi="Segoe UI"/>
                <w:i/>
                <w:iCs/>
                <w:color w:val="475569"/>
                <w:sz w:val="18"/>
                <w:szCs w:val="18"/>
              </w:rPr>
              <w:t xml:space="preserve">Projects: Online Retail Portal, Import-Export Management, Product Catalog System</w:t>
            </w:r>
          </w:p>
        </w:tc>
        <w:tc>
          <w:tcPr>
            <w:tcW w:type="pct" w:w="30%"/>
          </w:tcPr>
          <w:p>
            <w:pPr>
              <w:spacing w:after="60" w:before="10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E40AF"/>
                <w:sz w:val="18"/>
                <w:szCs w:val="18"/>
              </w:rPr>
              <w:t xml:space="preserve">October 2012 – October 2014</w:t>
            </w:r>
          </w:p>
        </w:tc>
      </w:tr>
    </w:tbl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Full-Stack Application Development: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Developed responsive web applications for global jewelry retail, inventory tracking, import-export operations, and automated reporting using ASP.NET MVC, C#, SQL Server, and jQuery.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Database Design &amp; Optimization: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Wrote optimized SQL queries, stored procedures, and complex data extraction scripts for inventory auditing and business reporting.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20" w:before="10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21"/>
                <w:szCs w:val="21"/>
              </w:rPr>
              <w:t xml:space="preserve">Software Developer</w:t>
            </w:r>
            <w:r>
              <w:rPr>
                <w:rFonts w:ascii="Segoe UI" w:cs="Segoe UI" w:eastAsia="Segoe UI" w:hAnsi="Segoe UI"/>
                <w:b w:val="false"/>
                <w:bCs w:val="false"/>
                <w:color w:val="1E40AF"/>
                <w:sz w:val="20"/>
                <w:szCs w:val="20"/>
              </w:rPr>
              <w:t xml:space="preserve"> | </w:t>
            </w:r>
            <w:r>
              <w:rPr>
                <w:rFonts w:ascii="Segoe UI" w:cs="Segoe UI" w:eastAsia="Segoe UI" w:hAnsi="Segoe UI"/>
                <w:b/>
                <w:bCs/>
                <w:color w:val="1E293B"/>
                <w:sz w:val="20"/>
                <w:szCs w:val="20"/>
              </w:rPr>
              <w:t xml:space="preserve">Aim Global Solutions Pvt. Ltd.</w:t>
            </w:r>
          </w:p>
          <w:p>
            <w:pPr>
              <w:spacing w:after="60" w:before="0"/>
            </w:pPr>
            <w:r>
              <w:rPr>
                <w:rFonts w:ascii="Segoe UI" w:cs="Segoe UI" w:eastAsia="Segoe UI" w:hAnsi="Segoe UI"/>
                <w:i/>
                <w:iCs/>
                <w:color w:val="475569"/>
                <w:sz w:val="18"/>
                <w:szCs w:val="18"/>
              </w:rPr>
              <w:t xml:space="preserve">Projects: RFID Vehicle &amp; Document Tracking, Prison Management System, Defense Solutions</w:t>
            </w:r>
          </w:p>
        </w:tc>
        <w:tc>
          <w:tcPr>
            <w:tcW w:type="pct" w:w="30%"/>
          </w:tcPr>
          <w:p>
            <w:pPr>
              <w:spacing w:after="60" w:before="10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E40AF"/>
                <w:sz w:val="18"/>
                <w:szCs w:val="18"/>
              </w:rPr>
              <w:t xml:space="preserve">June 2011 – October 2012</w:t>
            </w:r>
          </w:p>
        </w:tc>
      </w:tr>
    </w:tbl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RFID &amp; Smart Device Engineering: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Engineered RFID tracking applications, handheld smart device software (Windows CE), and backend database systems in ASP.NET and SQL Server.</w:t>
      </w:r>
    </w:p>
    <w:p>
      <w:pPr>
        <w:pStyle w:val="ListParagraph"/>
        <w:numPr>
          <w:ilvl w:val="0"/>
          <w:numId w:val="1"/>
        </w:numPr>
        <w:spacing w:after="50" w:before="40" w:line="276"/>
      </w:pPr>
      <w:r>
        <w:rPr>
          <w:rFonts w:ascii="Segoe UI" w:cs="Segoe UI" w:eastAsia="Segoe UI" w:hAnsi="Segoe UI"/>
          <w:b/>
          <w:bCs/>
          <w:color w:val="1E293B"/>
          <w:sz w:val="19"/>
          <w:szCs w:val="19"/>
        </w:rPr>
        <w:t xml:space="preserve">Client Demos &amp; Deployment: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Collaborated on requirement gathering with defense and enterprise stakeholders; conducted live demonstrations and on-site client deployments.</w:t>
      </w:r>
    </w:p>
    <w:p>
      <w:pPr>
        <w:pBdr>
          <w:bottom w:val="single" w:color="0F2C59" w:sz="14" w:space="4"/>
        </w:pBdr>
        <w:spacing w:after="80" w:before="240"/>
      </w:pPr>
      <w:r>
        <w:rPr>
          <w:rFonts w:ascii="Segoe UI" w:cs="Segoe UI" w:eastAsia="Segoe UI" w:hAnsi="Segoe UI"/>
          <w:b/>
          <w:bCs/>
          <w:color w:val="0F2C59"/>
          <w:spacing w:val="20"/>
          <w:sz w:val="23"/>
          <w:szCs w:val="23"/>
        </w:rPr>
        <w:t xml:space="preserve">EDUCATION &amp; KEY ACHIEVEMENTS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5%"/>
          </w:tcPr>
          <w:p>
            <w:pPr>
              <w:spacing w:after="20" w:before="4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9"/>
                <w:szCs w:val="19"/>
              </w:rPr>
              <w:t xml:space="preserve">Bachelor of Science in Information Technology (B.Sc. IT)</w:t>
            </w:r>
            <w:r>
              <w:rPr>
                <w:rFonts w:ascii="Segoe UI" w:cs="Segoe UI" w:eastAsia="Segoe UI" w:hAnsi="Segoe UI"/>
                <w:color w:val="1E293B"/>
                <w:sz w:val="19"/>
                <w:szCs w:val="19"/>
              </w:rPr>
              <w:t xml:space="preserve"> – Mumbai University (Usha Pravin Gandhi College of Management)</w:t>
            </w:r>
          </w:p>
          <w:p>
            <w:pPr>
              <w:spacing w:after="40" w:before="0"/>
            </w:pPr>
            <w:r>
              <w:rPr>
                <w:rFonts w:ascii="Segoe UI" w:cs="Segoe UI" w:eastAsia="Segoe UI" w:hAnsi="Segoe UI"/>
                <w:i/>
                <w:iCs/>
                <w:color w:val="475569"/>
                <w:sz w:val="18"/>
                <w:szCs w:val="18"/>
              </w:rPr>
              <w:t xml:space="preserve">Score: 71.33% (First Class with Distinction) | 2011</w:t>
            </w:r>
          </w:p>
          <w:p>
            <w:pPr>
              <w:spacing w:after="2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9"/>
                <w:szCs w:val="19"/>
              </w:rPr>
              <w:t xml:space="preserve">Higher Secondary Certificate (H.S.C.)</w:t>
            </w: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 – Maharashtra State Board (Mithibai College) | 68.33% | 2008</w:t>
            </w:r>
          </w:p>
          <w:p>
            <w:pPr>
              <w:spacing w:after="40" w:before="2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9"/>
                <w:szCs w:val="19"/>
              </w:rPr>
              <w:t xml:space="preserve">Secondary School Certificate (S.S.C.)</w:t>
            </w:r>
            <w:r>
              <w:rPr>
                <w:rFonts w:ascii="Segoe UI" w:cs="Segoe UI" w:eastAsia="Segoe UI" w:hAnsi="Segoe UI"/>
                <w:color w:val="1E293B"/>
                <w:sz w:val="18"/>
                <w:szCs w:val="18"/>
              </w:rPr>
              <w:t xml:space="preserve"> – Maharashtra State Board (G.P.P. High School) | 77.87% | 2006</w:t>
            </w:r>
          </w:p>
        </w:tc>
        <w:tc>
          <w:tcPr>
            <w:tcW w:type="pct" w:w="25%"/>
          </w:tcPr>
          <w:p>
            <w:pPr>
              <w:spacing w:after="20" w:before="40"/>
            </w:pPr>
            <w:r>
              <w:rPr>
                <w:rFonts w:ascii="Segoe UI" w:cs="Segoe UI" w:eastAsia="Segoe UI" w:hAnsi="Segoe UI"/>
                <w:b/>
                <w:bCs/>
                <w:color w:val="0F2C59"/>
                <w:sz w:val="19"/>
                <w:szCs w:val="19"/>
              </w:rPr>
              <w:t xml:space="preserve">Key Honors &amp; Awards:</w:t>
            </w:r>
          </w:p>
          <w:p>
            <w:pPr>
              <w:spacing w:after="20" w:before="0"/>
            </w:pPr>
            <w:r>
              <w:rPr>
                <w:rFonts w:ascii="Segoe UI" w:cs="Segoe UI" w:eastAsia="Segoe UI" w:hAnsi="Segoe UI"/>
                <w:b/>
                <w:bCs/>
                <w:color w:val="1E40AF"/>
                <w:sz w:val="18"/>
                <w:szCs w:val="18"/>
              </w:rPr>
              <w:t xml:space="preserve">🏆 "Star of the Month" Award</w:t>
            </w:r>
          </w:p>
          <w:p>
            <w:pPr>
              <w:spacing w:after="20" w:before="0"/>
            </w:pPr>
            <w:r>
              <w:rPr>
                <w:rFonts w:ascii="Segoe UI" w:cs="Segoe UI" w:eastAsia="Segoe UI" w:hAnsi="Segoe UI"/>
                <w:color w:val="475569"/>
                <w:sz w:val="17"/>
                <w:szCs w:val="17"/>
              </w:rPr>
              <w:t xml:space="preserve">Infogain (Costco Wholesale Project Delivery Excellence)</w:t>
            </w:r>
          </w:p>
        </w:tc>
      </w:tr>
    </w:tbl>
    <w:sectPr>
      <w:footerReference w:type="default" r:id="rId7"/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Segoe UI" w:cs="Segoe UI" w:eastAsia="Segoe UI" w:hAnsi="Segoe UI"/>
        <w:color w:val="475569"/>
        <w:sz w:val="16"/>
        <w:szCs w:val="16"/>
      </w:rPr>
      <w:t xml:space="preserve">Hemant Panchal | Technical Architect Resume | Page </w:t>
    </w:r>
    <w:r>
      <w:rPr>
        <w:rFonts w:ascii="Segoe UI" w:cs="Segoe UI" w:eastAsia="Segoe UI" w:hAnsi="Segoe UI"/>
        <w:color w:val="47556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475569"/>
        <w:sz w:val="16"/>
        <w:szCs w:val="16"/>
      </w:rPr>
      <w:t xml:space="preserve"> of </w:t>
    </w:r>
    <w:r>
      <w:rPr>
        <w:rFonts w:ascii="Segoe UI" w:cs="Segoe UI" w:eastAsia="Segoe UI" w:hAnsi="Segoe UI"/>
        <w:color w:val="47556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E293B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2026-09-25T06:18:40.009Z</dcterms:created>
  <dcterms:modified xsi:type="dcterms:W3CDTF">2026-09-25T06:18:40.010Z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